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6D394" w14:textId="77777777" w:rsidR="004121D0" w:rsidRPr="004121D0" w:rsidRDefault="004121D0" w:rsidP="004121D0">
      <w:pPr>
        <w:spacing w:after="0" w:line="240" w:lineRule="auto"/>
        <w:rPr>
          <w:rFonts w:eastAsia="Times New Roman" w:cs="Arial"/>
          <w:noProof/>
          <w:color w:val="auto"/>
          <w:sz w:val="4"/>
          <w:szCs w:val="4"/>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4121D0" w:rsidRPr="004121D0" w14:paraId="15C4CEDC" w14:textId="77777777" w:rsidTr="00A257C9">
        <w:tc>
          <w:tcPr>
            <w:tcW w:w="10236" w:type="dxa"/>
            <w:shd w:val="clear" w:color="auto" w:fill="auto"/>
          </w:tcPr>
          <w:p w14:paraId="690F949A" w14:textId="77777777" w:rsidR="004121D0" w:rsidRPr="004121D0" w:rsidRDefault="004121D0" w:rsidP="004121D0">
            <w:pPr>
              <w:spacing w:after="0" w:line="240" w:lineRule="auto"/>
              <w:rPr>
                <w:rFonts w:eastAsia="Times New Roman" w:cs="Arial"/>
                <w:b/>
                <w:noProof/>
                <w:color w:val="auto"/>
                <w:sz w:val="17"/>
                <w:szCs w:val="17"/>
                <w:lang w:eastAsia="de-DE"/>
              </w:rPr>
            </w:pPr>
            <w:r w:rsidRPr="004121D0">
              <w:rPr>
                <w:rFonts w:eastAsia="Times New Roman" w:cs="Arial"/>
                <w:b/>
                <w:noProof/>
                <w:color w:val="auto"/>
                <w:sz w:val="17"/>
                <w:szCs w:val="17"/>
                <w:lang w:eastAsia="de-DE"/>
              </w:rPr>
              <w:t xml:space="preserve">PEPP-Entgelttarif für das Bezirksklinikum Obermain mit den Tageskliniken in Coburg und Kronach im Anwendungsbereich der BPflV </w:t>
            </w:r>
            <w:r w:rsidRPr="004121D0">
              <w:rPr>
                <w:rFonts w:eastAsia="Times New Roman" w:cs="Arial"/>
                <w:noProof/>
                <w:color w:val="auto"/>
                <w:sz w:val="15"/>
                <w:szCs w:val="15"/>
                <w:lang w:eastAsia="de-DE"/>
              </w:rPr>
              <w:t xml:space="preserve">und Unterrichtung des Patienten gemäß § 8 Abs. 6 BPflV für das Bezirksklinikum Obermain, Kutzenberg, 96250 Ebensfeld </w:t>
            </w:r>
            <w:r w:rsidRPr="004121D0">
              <w:rPr>
                <w:rFonts w:eastAsia="Times New Roman" w:cs="Arial"/>
                <w:color w:val="auto"/>
                <w:sz w:val="15"/>
                <w:szCs w:val="15"/>
                <w:lang w:eastAsia="de-DE"/>
              </w:rPr>
              <w:t>einschließlich der</w:t>
            </w:r>
            <w:r w:rsidRPr="004121D0">
              <w:rPr>
                <w:rFonts w:eastAsia="Times New Roman" w:cs="Arial"/>
                <w:b/>
                <w:noProof/>
                <w:color w:val="auto"/>
                <w:sz w:val="17"/>
                <w:szCs w:val="17"/>
                <w:lang w:eastAsia="de-DE"/>
              </w:rPr>
              <w:t xml:space="preserve"> </w:t>
            </w:r>
            <w:r w:rsidRPr="004121D0">
              <w:rPr>
                <w:rFonts w:eastAsia="Times New Roman" w:cs="Arial"/>
                <w:color w:val="auto"/>
                <w:sz w:val="15"/>
                <w:szCs w:val="15"/>
                <w:lang w:eastAsia="de-DE"/>
              </w:rPr>
              <w:t>Tageskliniken für Psychiatrie, Psychotherapie und Psychosomatik in 96450 Coburg und in 96317 Kronach</w:t>
            </w:r>
          </w:p>
        </w:tc>
      </w:tr>
    </w:tbl>
    <w:p w14:paraId="3A408B83" w14:textId="75D868AE" w:rsidR="004121D0" w:rsidRPr="004121D0" w:rsidRDefault="004121D0" w:rsidP="004121D0">
      <w:pPr>
        <w:spacing w:after="0" w:line="240" w:lineRule="auto"/>
        <w:rPr>
          <w:rFonts w:eastAsia="Times New Roman" w:cs="Arial"/>
          <w:b/>
          <w:noProof/>
          <w:color w:val="auto"/>
          <w:sz w:val="14"/>
          <w:szCs w:val="14"/>
          <w:lang w:eastAsia="de-DE"/>
        </w:rPr>
      </w:pPr>
      <w:r w:rsidRPr="004121D0">
        <w:rPr>
          <w:rFonts w:eastAsia="Times New Roman" w:cs="Arial"/>
          <w:b/>
          <w:noProof/>
          <w:color w:val="auto"/>
          <w:sz w:val="14"/>
          <w:szCs w:val="14"/>
          <w:lang w:eastAsia="de-DE"/>
        </w:rPr>
        <w:t xml:space="preserve">Das Bezirksklinikum </w:t>
      </w:r>
      <w:r w:rsidR="00A41A1D">
        <w:rPr>
          <w:rFonts w:eastAsia="Times New Roman" w:cs="Arial"/>
          <w:b/>
          <w:noProof/>
          <w:color w:val="auto"/>
          <w:sz w:val="14"/>
          <w:szCs w:val="14"/>
          <w:lang w:eastAsia="de-DE"/>
        </w:rPr>
        <w:t>Obermain, Vorstand Eva Gill</w:t>
      </w:r>
      <w:r w:rsidRPr="004121D0">
        <w:rPr>
          <w:rFonts w:eastAsia="Times New Roman" w:cs="Arial"/>
          <w:b/>
          <w:noProof/>
          <w:color w:val="auto"/>
          <w:sz w:val="14"/>
          <w:szCs w:val="14"/>
          <w:lang w:eastAsia="de-DE"/>
        </w:rPr>
        <w:t xml:space="preserve">, berechnet ab dem </w:t>
      </w:r>
      <w:r w:rsidRPr="004121D0">
        <w:rPr>
          <w:rFonts w:eastAsia="Times New Roman" w:cs="Arial"/>
          <w:b/>
          <w:noProof/>
          <w:color w:val="FF0000"/>
          <w:sz w:val="14"/>
          <w:szCs w:val="14"/>
          <w:lang w:eastAsia="de-DE"/>
        </w:rPr>
        <w:t>01.</w:t>
      </w:r>
      <w:r w:rsidR="00FF6939">
        <w:rPr>
          <w:rFonts w:eastAsia="Times New Roman" w:cs="Arial"/>
          <w:b/>
          <w:noProof/>
          <w:color w:val="FF0000"/>
          <w:sz w:val="14"/>
          <w:szCs w:val="14"/>
          <w:lang w:eastAsia="de-DE"/>
        </w:rPr>
        <w:t>10</w:t>
      </w:r>
      <w:r w:rsidR="00860EEB">
        <w:rPr>
          <w:rFonts w:eastAsia="Times New Roman" w:cs="Arial"/>
          <w:b/>
          <w:noProof/>
          <w:color w:val="FF0000"/>
          <w:sz w:val="14"/>
          <w:szCs w:val="14"/>
          <w:lang w:eastAsia="de-DE"/>
        </w:rPr>
        <w:t>.2025</w:t>
      </w:r>
      <w:r w:rsidRPr="004121D0">
        <w:rPr>
          <w:rFonts w:eastAsia="Times New Roman" w:cs="Arial"/>
          <w:b/>
          <w:noProof/>
          <w:color w:val="FF0000"/>
          <w:sz w:val="14"/>
          <w:szCs w:val="14"/>
          <w:lang w:eastAsia="de-DE"/>
        </w:rPr>
        <w:t xml:space="preserve"> </w:t>
      </w:r>
      <w:r w:rsidRPr="004121D0">
        <w:rPr>
          <w:rFonts w:eastAsia="Times New Roman" w:cs="Arial"/>
          <w:b/>
          <w:noProof/>
          <w:color w:val="auto"/>
          <w:sz w:val="14"/>
          <w:szCs w:val="14"/>
          <w:lang w:eastAsia="de-DE"/>
        </w:rPr>
        <w:t xml:space="preserve"> folgende Entgelte:</w:t>
      </w:r>
    </w:p>
    <w:p w14:paraId="59350644" w14:textId="77777777" w:rsidR="004121D0" w:rsidRPr="004121D0" w:rsidRDefault="004121D0" w:rsidP="004121D0">
      <w:pPr>
        <w:spacing w:after="0" w:line="240" w:lineRule="auto"/>
        <w:rPr>
          <w:rFonts w:eastAsia="Times New Roman" w:cs="Arial"/>
          <w:b/>
          <w:noProof/>
          <w:color w:val="auto"/>
          <w:sz w:val="14"/>
          <w:szCs w:val="14"/>
          <w:lang w:eastAsia="de-DE"/>
        </w:rPr>
      </w:pPr>
      <w:r w:rsidRPr="004121D0">
        <w:rPr>
          <w:rFonts w:eastAsia="Times New Roman" w:cs="Arial"/>
          <w:noProof/>
          <w:color w:val="auto"/>
          <w:sz w:val="14"/>
          <w:szCs w:val="14"/>
          <w:lang w:eastAsia="de-DE"/>
        </w:rPr>
        <w:t xml:space="preserve">Die Entgelte für die allgemeinen voll- und teilstationären Leistungen des Krankenhauses </w:t>
      </w:r>
      <w:r w:rsidRPr="004121D0">
        <w:rPr>
          <w:rFonts w:eastAsia="Times New Roman" w:cs="Arial"/>
          <w:color w:val="auto"/>
          <w:sz w:val="14"/>
          <w:szCs w:val="14"/>
          <w:lang w:eastAsia="de-DE"/>
        </w:rPr>
        <w:t xml:space="preserve">für die Fachrichtungen Psychiatrie / Psychotherapie, Psychosomatik und Kinder- und Jugendpsychiatrie richten </w:t>
      </w:r>
      <w:r w:rsidRPr="004121D0">
        <w:rPr>
          <w:rFonts w:eastAsia="Times New Roman" w:cs="Arial"/>
          <w:noProof/>
          <w:color w:val="auto"/>
          <w:sz w:val="14"/>
          <w:szCs w:val="14"/>
          <w:lang w:eastAsia="de-DE"/>
        </w:rPr>
        <w:t>sich nach den gesetzlichen Vorgaben des KHG sowie der BPflV in der jeweils gültigen Fassung. Danach werden allgemeine Krankenhausleistungen vorwiegend über mit Bewertungsrelationen bewertete pauschalierende Entgelte für Psychiatrie und Psychosomatik (PEPP) anhand des PEPP-Entgeltkataloges abgerechnet.</w:t>
      </w:r>
    </w:p>
    <w:p w14:paraId="623E4B33" w14:textId="77777777" w:rsidR="004121D0" w:rsidRPr="004121D0" w:rsidRDefault="004121D0" w:rsidP="004121D0">
      <w:pPr>
        <w:spacing w:after="0" w:line="240" w:lineRule="auto"/>
        <w:rPr>
          <w:rFonts w:eastAsia="Times New Roman" w:cs="Arial"/>
          <w:b/>
          <w:color w:val="auto"/>
          <w:sz w:val="14"/>
          <w:szCs w:val="14"/>
          <w:highlight w:val="lightGray"/>
          <w:u w:val="single"/>
          <w:lang w:eastAsia="de-DE"/>
        </w:rPr>
      </w:pPr>
    </w:p>
    <w:p w14:paraId="0AD7BDF8" w14:textId="37EAF972"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1. Pauschalierende Entgelte für Psychiatrie und Psychosomatik (PEPP) gem. § 7 S. 1 Nr. 1 BPflV i.V.</w:t>
      </w:r>
      <w:r w:rsidR="00860EEB">
        <w:rPr>
          <w:rFonts w:eastAsia="Times New Roman" w:cs="Arial"/>
          <w:b/>
          <w:color w:val="auto"/>
          <w:sz w:val="14"/>
          <w:szCs w:val="14"/>
          <w:highlight w:val="lightGray"/>
          <w:u w:val="single"/>
          <w:lang w:eastAsia="de-DE"/>
        </w:rPr>
        <w:t>m. § 1 Abs. 1 PEPPV 2025</w:t>
      </w:r>
    </w:p>
    <w:p w14:paraId="119F8FCA" w14:textId="1291FAFE"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Jedem PEPP ist mindestens eine tagesbezogene Bewertungsrelation hinterlegt, deren Höhe sich aus den unterschiedlichen Vergütungsklassen des PEPP-Entgeltkataloges ergibt. Die Bewertungsrelationen können im Rahmen der Systempflege jährlich variieren. Die für die Berechnung des PEPP jeweils maßgebliche Vergütungsklasse ergibt sich aus der jeweiligen Verweildauer des Patienten im Krankenhaus. Der Bewertungsrelation ist ein in Euro ausgedrückter Basisentgeltwert (festgesetzter Wert einer Bezugsleistung) zugeordnet. Der derzeit g</w:t>
      </w:r>
      <w:r w:rsidR="00FF6939">
        <w:rPr>
          <w:rFonts w:eastAsia="Times New Roman" w:cs="Arial"/>
          <w:noProof/>
          <w:color w:val="auto"/>
          <w:sz w:val="14"/>
          <w:szCs w:val="14"/>
          <w:lang w:eastAsia="de-DE"/>
        </w:rPr>
        <w:t>ültige Basisentgeltwert ab 01.10</w:t>
      </w:r>
      <w:r w:rsidR="00C80B77">
        <w:rPr>
          <w:rFonts w:eastAsia="Times New Roman" w:cs="Arial"/>
          <w:noProof/>
          <w:color w:val="auto"/>
          <w:sz w:val="14"/>
          <w:szCs w:val="14"/>
          <w:lang w:eastAsia="de-DE"/>
        </w:rPr>
        <w:t>.2025</w:t>
      </w:r>
      <w:r w:rsidRPr="004121D0">
        <w:rPr>
          <w:rFonts w:eastAsia="Times New Roman" w:cs="Arial"/>
          <w:noProof/>
          <w:color w:val="auto"/>
          <w:sz w:val="14"/>
          <w:szCs w:val="14"/>
          <w:lang w:eastAsia="de-DE"/>
        </w:rPr>
        <w:t xml:space="preserve"> liegt bei </w:t>
      </w:r>
      <w:r w:rsidR="00FF6939">
        <w:rPr>
          <w:rFonts w:eastAsia="Times New Roman" w:cs="Arial"/>
          <w:b/>
          <w:color w:val="FF0000"/>
          <w:sz w:val="14"/>
          <w:szCs w:val="14"/>
          <w:lang w:eastAsia="de-DE"/>
        </w:rPr>
        <w:t>383,11</w:t>
      </w:r>
      <w:r w:rsidRPr="004121D0">
        <w:rPr>
          <w:rFonts w:eastAsia="Times New Roman" w:cs="Arial"/>
          <w:b/>
          <w:color w:val="FF0000"/>
          <w:sz w:val="14"/>
          <w:szCs w:val="14"/>
          <w:lang w:eastAsia="de-DE"/>
        </w:rPr>
        <w:t xml:space="preserve"> Euro</w:t>
      </w:r>
      <w:r w:rsidRPr="004121D0">
        <w:rPr>
          <w:rFonts w:eastAsia="Times New Roman" w:cs="Arial"/>
          <w:noProof/>
          <w:color w:val="FF0000"/>
          <w:sz w:val="14"/>
          <w:szCs w:val="14"/>
          <w:lang w:eastAsia="de-DE"/>
        </w:rPr>
        <w:t xml:space="preserve"> </w:t>
      </w:r>
      <w:r w:rsidRPr="004121D0">
        <w:rPr>
          <w:rFonts w:eastAsia="Times New Roman" w:cs="Arial"/>
          <w:noProof/>
          <w:color w:val="auto"/>
          <w:sz w:val="14"/>
          <w:szCs w:val="14"/>
          <w:lang w:eastAsia="de-DE"/>
        </w:rPr>
        <w:t xml:space="preserve">und unterliegt ebenfalls jährlichen Veränderungen. </w:t>
      </w:r>
      <w:r w:rsidRPr="004121D0">
        <w:rPr>
          <w:rFonts w:eastAsia="Times New Roman" w:cs="Arial"/>
          <w:color w:val="auto"/>
          <w:sz w:val="14"/>
          <w:szCs w:val="14"/>
          <w:lang w:eastAsia="de-DE"/>
        </w:rPr>
        <w:t>Die Entgelthöhe je Tag wird ermittelt, indem die im Entgeltkatalog ausgewiesene maßgebliche Bewertungsrelation nach Anlage 1a oder Anlage 2a der PEPPV 202</w:t>
      </w:r>
      <w:r w:rsidR="00C80B77">
        <w:rPr>
          <w:rFonts w:eastAsia="Times New Roman" w:cs="Arial"/>
          <w:color w:val="auto"/>
          <w:sz w:val="14"/>
          <w:szCs w:val="14"/>
          <w:lang w:eastAsia="de-DE"/>
        </w:rPr>
        <w:t>5</w:t>
      </w:r>
      <w:r w:rsidRPr="004121D0">
        <w:rPr>
          <w:rFonts w:eastAsia="Times New Roman" w:cs="Arial"/>
          <w:color w:val="auto"/>
          <w:sz w:val="14"/>
          <w:szCs w:val="14"/>
          <w:lang w:eastAsia="de-DE"/>
        </w:rPr>
        <w:t xml:space="preserve"> jeweils mit dem Basisentgeltwert multipliziert und das Ergebnis kaufmännisch auf zwei Nachkommastellen gerundet wird. Für die Rechnungsstellung wird die Anzahl der Berechnungstage je Entgelt addiert und mit dem ermittelten Entgeltbetrag multipliziert. Berechnungstage sind der Aufnahmetag sowie jeder weitere Tag des Krankenhausaufenthalts inklusive des Verlegungs- oder Entlassungstages aus dem Krankenhaus; wird ein Patient am gleichen Tag aufgenommen und verlegt oder entlassen, gilt dieser Tag als Aufnahmetag und zählt als ein Berechnungstag. </w:t>
      </w:r>
    </w:p>
    <w:p w14:paraId="315BF0CE" w14:textId="1C8BE823" w:rsidR="004121D0" w:rsidRPr="004121D0" w:rsidRDefault="004121D0" w:rsidP="004121D0">
      <w:pPr>
        <w:spacing w:after="0" w:line="240" w:lineRule="auto"/>
        <w:rPr>
          <w:rFonts w:eastAsia="Arial" w:cs="Arial"/>
          <w:b/>
          <w:color w:val="000000"/>
          <w:spacing w:val="-1"/>
          <w:sz w:val="14"/>
          <w:szCs w:val="14"/>
          <w:lang w:eastAsia="de-DE"/>
        </w:rPr>
      </w:pPr>
      <w:r w:rsidRPr="004121D0">
        <w:rPr>
          <w:rFonts w:eastAsia="Arial" w:cs="Arial"/>
          <w:b/>
          <w:color w:val="auto"/>
          <w:sz w:val="14"/>
          <w:szCs w:val="14"/>
          <w:lang w:eastAsia="de-DE"/>
        </w:rPr>
        <w:t xml:space="preserve">PEPP-Entgeltkatalog </w:t>
      </w:r>
      <w:r w:rsidRPr="004121D0">
        <w:rPr>
          <w:rFonts w:eastAsia="Arial" w:cs="Arial"/>
          <w:b/>
          <w:color w:val="000000"/>
          <w:spacing w:val="-1"/>
          <w:sz w:val="14"/>
          <w:szCs w:val="14"/>
          <w:lang w:eastAsia="de-DE"/>
        </w:rPr>
        <w:t xml:space="preserve">Bewertungsrelationen bei vollstationärer Versorgung - Anlage 1 a                                                                                </w:t>
      </w:r>
      <w:r w:rsidR="00860EEB">
        <w:rPr>
          <w:rFonts w:eastAsia="Arial" w:cs="Arial"/>
          <w:b/>
          <w:color w:val="000000"/>
          <w:spacing w:val="-1"/>
          <w:sz w:val="14"/>
          <w:szCs w:val="14"/>
          <w:lang w:eastAsia="de-DE"/>
        </w:rPr>
        <w:t xml:space="preserve">    PEPP-Version 2025</w:t>
      </w:r>
    </w:p>
    <w:tbl>
      <w:tblPr>
        <w:tblW w:w="10194" w:type="dxa"/>
        <w:tblInd w:w="6" w:type="dxa"/>
        <w:tblLayout w:type="fixed"/>
        <w:tblCellMar>
          <w:left w:w="0" w:type="dxa"/>
          <w:right w:w="0" w:type="dxa"/>
        </w:tblCellMar>
        <w:tblLook w:val="0000" w:firstRow="0" w:lastRow="0" w:firstColumn="0" w:lastColumn="0" w:noHBand="0" w:noVBand="0"/>
      </w:tblPr>
      <w:tblGrid>
        <w:gridCol w:w="1244"/>
        <w:gridCol w:w="3564"/>
        <w:gridCol w:w="3118"/>
        <w:gridCol w:w="2268"/>
      </w:tblGrid>
      <w:tr w:rsidR="004121D0" w:rsidRPr="004121D0" w14:paraId="42155AED" w14:textId="77777777" w:rsidTr="00A257C9">
        <w:trPr>
          <w:trHeight w:hRule="exact" w:val="667"/>
        </w:trPr>
        <w:tc>
          <w:tcPr>
            <w:tcW w:w="124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F31E00F" w14:textId="77777777" w:rsidR="004121D0" w:rsidRPr="004121D0" w:rsidRDefault="004121D0" w:rsidP="004121D0">
            <w:pPr>
              <w:spacing w:before="239" w:after="230" w:line="193"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PEPP</w:t>
            </w:r>
          </w:p>
        </w:tc>
        <w:tc>
          <w:tcPr>
            <w:tcW w:w="356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76D7565" w14:textId="77777777" w:rsidR="004121D0" w:rsidRPr="004121D0" w:rsidRDefault="004121D0" w:rsidP="004121D0">
            <w:pPr>
              <w:spacing w:before="239" w:after="230" w:line="193"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Bezeichnung</w:t>
            </w:r>
          </w:p>
        </w:tc>
        <w:tc>
          <w:tcPr>
            <w:tcW w:w="3118" w:type="dxa"/>
            <w:tcBorders>
              <w:top w:val="single" w:sz="5" w:space="0" w:color="000000"/>
              <w:left w:val="single" w:sz="5" w:space="0" w:color="000000"/>
              <w:bottom w:val="single" w:sz="5" w:space="0" w:color="000000"/>
              <w:right w:val="single" w:sz="5" w:space="0" w:color="000000"/>
            </w:tcBorders>
            <w:shd w:val="clear" w:color="C0C0C0" w:fill="C0C0C0"/>
          </w:tcPr>
          <w:p w14:paraId="2D3D6448" w14:textId="77777777" w:rsidR="004121D0" w:rsidRPr="004121D0" w:rsidRDefault="004121D0" w:rsidP="004121D0">
            <w:pPr>
              <w:spacing w:before="42" w:after="0" w:line="193"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Anzahl</w:t>
            </w:r>
          </w:p>
          <w:p w14:paraId="273CE7AA" w14:textId="77777777" w:rsidR="004121D0" w:rsidRPr="004121D0" w:rsidRDefault="004121D0" w:rsidP="004121D0">
            <w:pPr>
              <w:spacing w:before="3" w:after="38" w:line="193" w:lineRule="exact"/>
              <w:ind w:left="144"/>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Berechnungstage / Vergütungsklasse</w:t>
            </w:r>
          </w:p>
        </w:tc>
        <w:tc>
          <w:tcPr>
            <w:tcW w:w="2268"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6901F80" w14:textId="77777777" w:rsidR="004121D0" w:rsidRPr="004121D0" w:rsidRDefault="004121D0" w:rsidP="004121D0">
            <w:pPr>
              <w:spacing w:before="142" w:after="134" w:line="193" w:lineRule="exact"/>
              <w:ind w:left="648" w:right="144" w:hanging="504"/>
              <w:textAlignment w:val="baseline"/>
              <w:rPr>
                <w:rFonts w:eastAsia="Arial" w:cs="Arial"/>
                <w:b/>
                <w:color w:val="000000"/>
                <w:spacing w:val="-3"/>
                <w:sz w:val="12"/>
                <w:szCs w:val="12"/>
                <w:lang w:eastAsia="de-DE"/>
              </w:rPr>
            </w:pPr>
            <w:r w:rsidRPr="004121D0">
              <w:rPr>
                <w:rFonts w:eastAsia="Arial" w:cs="Arial"/>
                <w:b/>
                <w:color w:val="000000"/>
                <w:spacing w:val="-3"/>
                <w:sz w:val="12"/>
                <w:szCs w:val="12"/>
                <w:lang w:eastAsia="de-DE"/>
              </w:rPr>
              <w:t>Bewertungsrelation je Tag</w:t>
            </w:r>
          </w:p>
        </w:tc>
      </w:tr>
      <w:tr w:rsidR="004121D0" w:rsidRPr="004121D0" w14:paraId="4D9EF516" w14:textId="77777777" w:rsidTr="00A257C9">
        <w:trPr>
          <w:trHeight w:hRule="exact" w:val="187"/>
        </w:trPr>
        <w:tc>
          <w:tcPr>
            <w:tcW w:w="1244"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484DFF61"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1</w:t>
            </w:r>
          </w:p>
        </w:tc>
        <w:tc>
          <w:tcPr>
            <w:tcW w:w="3564" w:type="dxa"/>
            <w:tcBorders>
              <w:top w:val="single" w:sz="5" w:space="0" w:color="000000"/>
              <w:left w:val="single" w:sz="5" w:space="0" w:color="000000"/>
              <w:bottom w:val="single" w:sz="6" w:space="0" w:color="000000"/>
              <w:right w:val="single" w:sz="5" w:space="0" w:color="000000"/>
            </w:tcBorders>
            <w:shd w:val="clear" w:color="C0C0C0" w:fill="C0C0C0"/>
          </w:tcPr>
          <w:p w14:paraId="734AF870"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2</w:t>
            </w:r>
          </w:p>
        </w:tc>
        <w:tc>
          <w:tcPr>
            <w:tcW w:w="3118"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1E29D67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3</w:t>
            </w:r>
          </w:p>
        </w:tc>
        <w:tc>
          <w:tcPr>
            <w:tcW w:w="2268"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4615CE7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r w:rsidRPr="004121D0">
              <w:rPr>
                <w:rFonts w:eastAsia="Arial" w:cs="Arial"/>
                <w:b/>
                <w:color w:val="000000"/>
                <w:sz w:val="12"/>
                <w:szCs w:val="12"/>
                <w:lang w:eastAsia="de-DE"/>
              </w:rPr>
              <w:t>4</w:t>
            </w:r>
          </w:p>
        </w:tc>
      </w:tr>
      <w:tr w:rsidR="004121D0" w:rsidRPr="004121D0" w14:paraId="7445F7BE" w14:textId="77777777" w:rsidTr="00A257C9">
        <w:trPr>
          <w:trHeight w:hRule="exact" w:val="187"/>
        </w:trPr>
        <w:tc>
          <w:tcPr>
            <w:tcW w:w="1244" w:type="dxa"/>
            <w:vMerge w:val="restart"/>
            <w:tcBorders>
              <w:top w:val="single" w:sz="5" w:space="0" w:color="000000"/>
              <w:left w:val="single" w:sz="5" w:space="0" w:color="000000"/>
              <w:right w:val="single" w:sz="5" w:space="0" w:color="000000"/>
            </w:tcBorders>
            <w:shd w:val="clear" w:color="auto" w:fill="auto"/>
          </w:tcPr>
          <w:p w14:paraId="662D33DE" w14:textId="77777777" w:rsidR="004121D0" w:rsidRPr="004121D0" w:rsidRDefault="004121D0" w:rsidP="004121D0">
            <w:pPr>
              <w:spacing w:after="18" w:line="137" w:lineRule="exact"/>
              <w:textAlignment w:val="baseline"/>
              <w:rPr>
                <w:rFonts w:eastAsia="Arial" w:cs="Arial"/>
                <w:color w:val="000000"/>
                <w:sz w:val="12"/>
                <w:szCs w:val="12"/>
                <w:lang w:eastAsia="de-DE"/>
              </w:rPr>
            </w:pPr>
            <w:r w:rsidRPr="004121D0">
              <w:rPr>
                <w:rFonts w:eastAsia="Arial" w:cs="Arial"/>
                <w:color w:val="000000"/>
                <w:sz w:val="12"/>
                <w:szCs w:val="12"/>
                <w:lang w:eastAsia="de-DE"/>
              </w:rPr>
              <w:t>PA04C</w:t>
            </w:r>
          </w:p>
        </w:tc>
        <w:tc>
          <w:tcPr>
            <w:tcW w:w="3564" w:type="dxa"/>
            <w:vMerge w:val="restart"/>
            <w:tcBorders>
              <w:top w:val="single" w:sz="5" w:space="0" w:color="000000"/>
              <w:left w:val="single" w:sz="5" w:space="0" w:color="000000"/>
              <w:right w:val="single" w:sz="5" w:space="0" w:color="000000"/>
            </w:tcBorders>
            <w:shd w:val="clear" w:color="auto" w:fill="auto"/>
          </w:tcPr>
          <w:p w14:paraId="6F2BB48C" w14:textId="77777777" w:rsidR="004121D0" w:rsidRPr="004121D0" w:rsidRDefault="004121D0" w:rsidP="004121D0">
            <w:pPr>
              <w:spacing w:after="18" w:line="137" w:lineRule="exact"/>
              <w:jc w:val="both"/>
              <w:textAlignment w:val="baseline"/>
              <w:rPr>
                <w:rFonts w:eastAsia="Arial" w:cs="Arial"/>
                <w:color w:val="000000"/>
                <w:sz w:val="12"/>
                <w:szCs w:val="12"/>
                <w:lang w:eastAsia="de-DE"/>
              </w:rPr>
            </w:pPr>
            <w:r w:rsidRPr="004121D0">
              <w:rPr>
                <w:rFonts w:eastAsia="Arial" w:cs="Arial"/>
                <w:color w:val="000000"/>
                <w:sz w:val="12"/>
                <w:szCs w:val="12"/>
                <w:lang w:eastAsia="de-DE"/>
              </w:rPr>
              <w:t>Affektive, neurotische, Belastungs-, somatoforme und Schlafstörungen, Alter &lt; 65 Jahre, ohne komplizierende Konstellation, ohne komplizierende Diagnose, ohne erhebliche Pflegebedürftigkeit</w:t>
            </w: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ABA4416"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6D2E91E" w14:textId="6F34E90A"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1,3280</w:t>
            </w:r>
          </w:p>
        </w:tc>
      </w:tr>
      <w:tr w:rsidR="004121D0" w:rsidRPr="004121D0" w14:paraId="429860DE"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3B3E17AE"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81F382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0BA87D0"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2</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EF90742" w14:textId="6D08B825"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1,1798</w:t>
            </w:r>
          </w:p>
        </w:tc>
      </w:tr>
      <w:tr w:rsidR="004121D0" w:rsidRPr="004121D0" w14:paraId="0DA5933F"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6AC90215"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C61CCE0"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EFD80EC"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3</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E47A584" w14:textId="27EC0233"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1,11357</w:t>
            </w:r>
          </w:p>
        </w:tc>
      </w:tr>
      <w:tr w:rsidR="004121D0" w:rsidRPr="004121D0" w14:paraId="1AD18061"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240E86A5"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C50289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A3292C9"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4</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135DFA4" w14:textId="0227285E"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1,1170</w:t>
            </w:r>
          </w:p>
        </w:tc>
      </w:tr>
      <w:tr w:rsidR="004121D0" w:rsidRPr="004121D0" w14:paraId="2D2C1AEB"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7236CEFE"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BAFEA99"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6C7C107"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5</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8451465" w14:textId="0E891C4B"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1,1009</w:t>
            </w:r>
          </w:p>
        </w:tc>
      </w:tr>
      <w:tr w:rsidR="004121D0" w:rsidRPr="004121D0" w14:paraId="1AA05FE1"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10117401"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89BFA8C"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2E77877"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6</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505627E" w14:textId="450DAB00"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1,0847</w:t>
            </w:r>
          </w:p>
        </w:tc>
      </w:tr>
      <w:tr w:rsidR="004121D0" w:rsidRPr="004121D0" w14:paraId="0F1A518A"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158B07FE"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1BE592B"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E6F7B72"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7</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5DFA06E" w14:textId="13673E7F"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1,0686</w:t>
            </w:r>
          </w:p>
        </w:tc>
      </w:tr>
      <w:tr w:rsidR="004121D0" w:rsidRPr="004121D0" w14:paraId="72A37AF6"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7FB6C9BC"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226630C1"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5690E8A"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8</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A5FA756" w14:textId="19A76233"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1,0525</w:t>
            </w:r>
          </w:p>
        </w:tc>
      </w:tr>
      <w:tr w:rsidR="004121D0" w:rsidRPr="004121D0" w14:paraId="5D9B3946"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04B11EB7"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9F402F6"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1225ED9"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9</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E9D8F9C" w14:textId="4D91F274"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1,0363</w:t>
            </w:r>
          </w:p>
        </w:tc>
      </w:tr>
      <w:tr w:rsidR="004121D0" w:rsidRPr="004121D0" w14:paraId="14325399"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26F117F6"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A30F091"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289A6FF"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10</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5D84094" w14:textId="7C3723C5"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1,0202</w:t>
            </w:r>
          </w:p>
        </w:tc>
      </w:tr>
      <w:tr w:rsidR="004121D0" w:rsidRPr="004121D0" w14:paraId="42C1E488"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69BDC249"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2FD36315"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B8CDA12"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11</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596BC48" w14:textId="51D3E75D"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1,0040</w:t>
            </w:r>
          </w:p>
        </w:tc>
      </w:tr>
      <w:tr w:rsidR="004121D0" w:rsidRPr="004121D0" w14:paraId="305A6B8B"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23690F19"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074F5D2"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207348E"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12</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9781F6E" w14:textId="31F47A38"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0,9879</w:t>
            </w:r>
          </w:p>
        </w:tc>
      </w:tr>
      <w:tr w:rsidR="004121D0" w:rsidRPr="004121D0" w14:paraId="40821B4D"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17DC9043"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39708E0"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43C2522"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13</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2696631" w14:textId="7459029D"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0,9718</w:t>
            </w:r>
          </w:p>
        </w:tc>
      </w:tr>
      <w:tr w:rsidR="004121D0" w:rsidRPr="004121D0" w14:paraId="78688E35"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5A5E26F9"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909FBA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3F08A776"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14</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A0D39A0" w14:textId="2FE61864"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0,9556</w:t>
            </w:r>
          </w:p>
        </w:tc>
      </w:tr>
      <w:tr w:rsidR="004121D0" w:rsidRPr="004121D0" w14:paraId="35907120"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5E247459"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7906628"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39ABCE9E"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15</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F22652F" w14:textId="4FBAAB78"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0,9395</w:t>
            </w:r>
          </w:p>
        </w:tc>
      </w:tr>
      <w:tr w:rsidR="004121D0" w:rsidRPr="004121D0" w14:paraId="16F17FBA"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0150A32F"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D90EB4A"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B9F259E"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16</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372D20F" w14:textId="6B841886"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0,9233</w:t>
            </w:r>
          </w:p>
        </w:tc>
      </w:tr>
      <w:tr w:rsidR="004121D0" w:rsidRPr="004121D0" w14:paraId="0394AAB7"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49BDBE96"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F456D4B"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57E7FD4"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17</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0FAE0F4" w14:textId="0286FD63"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0,9072</w:t>
            </w:r>
          </w:p>
        </w:tc>
      </w:tr>
      <w:tr w:rsidR="004121D0" w:rsidRPr="004121D0" w14:paraId="524F566F" w14:textId="77777777" w:rsidTr="00A257C9">
        <w:trPr>
          <w:trHeight w:hRule="exact" w:val="187"/>
        </w:trPr>
        <w:tc>
          <w:tcPr>
            <w:tcW w:w="1244" w:type="dxa"/>
            <w:vMerge/>
            <w:tcBorders>
              <w:left w:val="single" w:sz="5" w:space="0" w:color="000000"/>
              <w:right w:val="single" w:sz="5" w:space="0" w:color="000000"/>
            </w:tcBorders>
            <w:shd w:val="clear" w:color="auto" w:fill="auto"/>
            <w:vAlign w:val="center"/>
          </w:tcPr>
          <w:p w14:paraId="7965D930"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349F4CE"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741721A"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18</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4C34589" w14:textId="0216C487"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0,8911</w:t>
            </w:r>
          </w:p>
        </w:tc>
      </w:tr>
      <w:tr w:rsidR="004121D0" w:rsidRPr="004121D0" w14:paraId="14E95AAF" w14:textId="77777777" w:rsidTr="00C80B77">
        <w:trPr>
          <w:trHeight w:hRule="exact" w:val="187"/>
        </w:trPr>
        <w:tc>
          <w:tcPr>
            <w:tcW w:w="1244" w:type="dxa"/>
            <w:vMerge/>
            <w:tcBorders>
              <w:left w:val="single" w:sz="5" w:space="0" w:color="000000"/>
              <w:bottom w:val="single" w:sz="4" w:space="0" w:color="auto"/>
              <w:right w:val="single" w:sz="5" w:space="0" w:color="000000"/>
            </w:tcBorders>
            <w:shd w:val="clear" w:color="auto" w:fill="auto"/>
            <w:vAlign w:val="center"/>
          </w:tcPr>
          <w:p w14:paraId="48B3CCF8"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bottom w:val="single" w:sz="4" w:space="0" w:color="auto"/>
              <w:right w:val="single" w:sz="5" w:space="0" w:color="000000"/>
            </w:tcBorders>
            <w:shd w:val="clear" w:color="auto" w:fill="auto"/>
            <w:vAlign w:val="center"/>
          </w:tcPr>
          <w:p w14:paraId="34CB2E78" w14:textId="77777777" w:rsidR="004121D0" w:rsidRPr="004121D0" w:rsidRDefault="004121D0" w:rsidP="004121D0">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1C28C67" w14:textId="77777777" w:rsidR="004121D0" w:rsidRPr="004121D0" w:rsidRDefault="004121D0" w:rsidP="004121D0">
            <w:pPr>
              <w:spacing w:after="18" w:line="137" w:lineRule="exact"/>
              <w:jc w:val="center"/>
              <w:textAlignment w:val="baseline"/>
              <w:rPr>
                <w:rFonts w:eastAsia="Arial" w:cs="Arial"/>
                <w:color w:val="000000"/>
                <w:sz w:val="12"/>
                <w:szCs w:val="12"/>
                <w:lang w:eastAsia="de-DE"/>
              </w:rPr>
            </w:pPr>
            <w:r w:rsidRPr="004121D0">
              <w:rPr>
                <w:rFonts w:eastAsia="Arial" w:cs="Arial"/>
                <w:color w:val="000000"/>
                <w:sz w:val="12"/>
                <w:szCs w:val="12"/>
                <w:lang w:eastAsia="de-DE"/>
              </w:rPr>
              <w:t>19</w:t>
            </w:r>
          </w:p>
        </w:tc>
        <w:tc>
          <w:tcPr>
            <w:tcW w:w="226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F915150" w14:textId="2A70CC73" w:rsidR="004121D0" w:rsidRPr="004121D0" w:rsidRDefault="00C80B77" w:rsidP="004121D0">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0,8749</w:t>
            </w:r>
          </w:p>
        </w:tc>
      </w:tr>
    </w:tbl>
    <w:p w14:paraId="416D88C2" w14:textId="77777777" w:rsidR="004121D0" w:rsidRPr="004121D0" w:rsidRDefault="004121D0" w:rsidP="004121D0">
      <w:pPr>
        <w:spacing w:after="0" w:line="240" w:lineRule="auto"/>
        <w:jc w:val="both"/>
        <w:rPr>
          <w:rFonts w:eastAsia="Times New Roman" w:cs="Arial"/>
          <w:noProof/>
          <w:color w:val="auto"/>
          <w:sz w:val="14"/>
          <w:szCs w:val="14"/>
          <w:lang w:eastAsia="de-DE"/>
        </w:rPr>
      </w:pPr>
    </w:p>
    <w:p w14:paraId="222460FB" w14:textId="460128B8"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Anhand des nachfolgenden Beispiels bemisst sich die konkrete Entgelthöhe für die </w:t>
      </w:r>
      <w:r w:rsidRPr="004121D0">
        <w:rPr>
          <w:rFonts w:eastAsia="Times New Roman" w:cs="Arial"/>
          <w:b/>
          <w:noProof/>
          <w:color w:val="auto"/>
          <w:sz w:val="14"/>
          <w:szCs w:val="14"/>
          <w:lang w:eastAsia="de-DE"/>
        </w:rPr>
        <w:t>PEPP PA04C</w:t>
      </w:r>
      <w:r w:rsidRPr="004121D0">
        <w:rPr>
          <w:rFonts w:eastAsia="Times New Roman" w:cs="Arial"/>
          <w:noProof/>
          <w:color w:val="auto"/>
          <w:sz w:val="14"/>
          <w:szCs w:val="14"/>
          <w:lang w:eastAsia="de-DE"/>
        </w:rPr>
        <w:t xml:space="preserve"> bei einem </w:t>
      </w:r>
      <w:r w:rsidRPr="004121D0">
        <w:rPr>
          <w:rFonts w:eastAsia="Times New Roman" w:cs="Arial"/>
          <w:b/>
          <w:noProof/>
          <w:color w:val="auto"/>
          <w:sz w:val="14"/>
          <w:szCs w:val="14"/>
          <w:lang w:eastAsia="de-DE"/>
        </w:rPr>
        <w:t xml:space="preserve">Basisentgeltwert von </w:t>
      </w:r>
      <w:r w:rsidR="00FF6939">
        <w:rPr>
          <w:rFonts w:eastAsia="Times New Roman" w:cs="Arial"/>
          <w:b/>
          <w:noProof/>
          <w:color w:val="FF0000"/>
          <w:sz w:val="14"/>
          <w:szCs w:val="14"/>
          <w:lang w:eastAsia="de-DE"/>
        </w:rPr>
        <w:t>383,11</w:t>
      </w:r>
      <w:r w:rsidRPr="004121D0">
        <w:rPr>
          <w:rFonts w:eastAsia="Times New Roman" w:cs="Arial"/>
          <w:b/>
          <w:noProof/>
          <w:color w:val="FF0000"/>
          <w:sz w:val="14"/>
          <w:szCs w:val="14"/>
          <w:lang w:eastAsia="de-DE"/>
        </w:rPr>
        <w:t xml:space="preserve"> Euro</w:t>
      </w:r>
      <w:r w:rsidRPr="004121D0">
        <w:rPr>
          <w:rFonts w:eastAsia="Times New Roman" w:cs="Arial"/>
          <w:noProof/>
          <w:color w:val="auto"/>
          <w:sz w:val="14"/>
          <w:szCs w:val="14"/>
          <w:lang w:eastAsia="de-DE"/>
        </w:rPr>
        <w:t xml:space="preserve"> und einer </w:t>
      </w:r>
      <w:r w:rsidRPr="004121D0">
        <w:rPr>
          <w:rFonts w:eastAsia="Times New Roman" w:cs="Arial"/>
          <w:b/>
          <w:noProof/>
          <w:color w:val="auto"/>
          <w:sz w:val="14"/>
          <w:szCs w:val="14"/>
          <w:lang w:eastAsia="de-DE"/>
        </w:rPr>
        <w:t xml:space="preserve">Verweildauer von 17 Berechnungstagen </w:t>
      </w:r>
      <w:r w:rsidRPr="004121D0">
        <w:rPr>
          <w:rFonts w:eastAsia="Times New Roman" w:cs="Arial"/>
          <w:noProof/>
          <w:color w:val="auto"/>
          <w:sz w:val="14"/>
          <w:szCs w:val="14"/>
          <w:lang w:eastAsia="de-DE"/>
        </w:rPr>
        <w:t>wie folgt: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05"/>
        <w:gridCol w:w="2248"/>
        <w:gridCol w:w="1829"/>
        <w:gridCol w:w="1958"/>
      </w:tblGrid>
      <w:tr w:rsidR="004121D0" w:rsidRPr="004121D0" w14:paraId="20A8EE43" w14:textId="77777777" w:rsidTr="00A257C9">
        <w:tc>
          <w:tcPr>
            <w:tcW w:w="851" w:type="dxa"/>
            <w:shd w:val="clear" w:color="auto" w:fill="D9D9D9"/>
          </w:tcPr>
          <w:p w14:paraId="68A9433D"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PEPP</w:t>
            </w:r>
          </w:p>
        </w:tc>
        <w:tc>
          <w:tcPr>
            <w:tcW w:w="3260" w:type="dxa"/>
            <w:shd w:val="clear" w:color="auto" w:fill="D9D9D9"/>
          </w:tcPr>
          <w:p w14:paraId="408574FE"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Bezeichnung</w:t>
            </w:r>
          </w:p>
        </w:tc>
        <w:tc>
          <w:tcPr>
            <w:tcW w:w="2268" w:type="dxa"/>
            <w:shd w:val="clear" w:color="auto" w:fill="D9D9D9"/>
          </w:tcPr>
          <w:p w14:paraId="5AE61B73"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Bewertungsrelation</w:t>
            </w:r>
          </w:p>
        </w:tc>
        <w:tc>
          <w:tcPr>
            <w:tcW w:w="1843" w:type="dxa"/>
            <w:shd w:val="clear" w:color="auto" w:fill="D9D9D9"/>
          </w:tcPr>
          <w:p w14:paraId="48B7E930"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Basisentgeltwert</w:t>
            </w:r>
          </w:p>
        </w:tc>
        <w:tc>
          <w:tcPr>
            <w:tcW w:w="1984" w:type="dxa"/>
            <w:shd w:val="clear" w:color="auto" w:fill="D9D9D9"/>
          </w:tcPr>
          <w:p w14:paraId="5279AB2E"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Entgelthöhe</w:t>
            </w:r>
          </w:p>
        </w:tc>
      </w:tr>
      <w:tr w:rsidR="004121D0" w:rsidRPr="004121D0" w14:paraId="4BB6DF6C" w14:textId="77777777" w:rsidTr="00A257C9">
        <w:tc>
          <w:tcPr>
            <w:tcW w:w="851" w:type="dxa"/>
            <w:shd w:val="clear" w:color="auto" w:fill="auto"/>
          </w:tcPr>
          <w:p w14:paraId="0BC93F0F" w14:textId="77777777" w:rsidR="004121D0" w:rsidRPr="004121D0" w:rsidRDefault="004121D0" w:rsidP="004121D0">
            <w:pPr>
              <w:tabs>
                <w:tab w:val="left" w:pos="426"/>
              </w:tabs>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PA04C</w:t>
            </w:r>
          </w:p>
        </w:tc>
        <w:tc>
          <w:tcPr>
            <w:tcW w:w="3260" w:type="dxa"/>
            <w:shd w:val="clear" w:color="auto" w:fill="auto"/>
          </w:tcPr>
          <w:p w14:paraId="4284D733" w14:textId="77777777" w:rsidR="004121D0" w:rsidRPr="004121D0" w:rsidRDefault="004121D0" w:rsidP="004121D0">
            <w:pPr>
              <w:spacing w:after="0" w:line="240" w:lineRule="auto"/>
              <w:rPr>
                <w:rFonts w:eastAsia="Times New Roman" w:cs="Arial"/>
                <w:i/>
                <w:color w:val="auto"/>
                <w:sz w:val="14"/>
                <w:szCs w:val="14"/>
                <w:lang w:eastAsia="de-DE"/>
              </w:rPr>
            </w:pPr>
            <w:r w:rsidRPr="004121D0">
              <w:rPr>
                <w:rFonts w:eastAsia="Arial" w:cs="Arial"/>
                <w:color w:val="000000"/>
                <w:sz w:val="12"/>
                <w:szCs w:val="12"/>
                <w:lang w:eastAsia="de-DE"/>
              </w:rPr>
              <w:t>Affektive, neurotische, Belastungs-, somatoforme und Schlafstörungen, Alter &lt; 65 Jahre, ohne komplizierende Konstellation, ohne komplizierende Diagnose, ohne erhebliche Pflegebedürftigkeit</w:t>
            </w:r>
          </w:p>
        </w:tc>
        <w:tc>
          <w:tcPr>
            <w:tcW w:w="2268" w:type="dxa"/>
            <w:shd w:val="clear" w:color="auto" w:fill="auto"/>
          </w:tcPr>
          <w:p w14:paraId="7D409491" w14:textId="2CCADBE7" w:rsidR="004121D0" w:rsidRPr="004121D0" w:rsidRDefault="00C80B77" w:rsidP="004121D0">
            <w:pPr>
              <w:tabs>
                <w:tab w:val="left" w:pos="426"/>
              </w:tabs>
              <w:spacing w:after="0" w:line="240" w:lineRule="auto"/>
              <w:jc w:val="center"/>
              <w:rPr>
                <w:rFonts w:eastAsia="Times New Roman" w:cs="Arial"/>
                <w:color w:val="auto"/>
                <w:sz w:val="14"/>
                <w:szCs w:val="14"/>
                <w:lang w:eastAsia="de-DE"/>
              </w:rPr>
            </w:pPr>
            <w:r>
              <w:rPr>
                <w:rFonts w:eastAsia="Times New Roman" w:cs="Arial"/>
                <w:color w:val="auto"/>
                <w:sz w:val="14"/>
                <w:szCs w:val="14"/>
                <w:lang w:eastAsia="de-DE"/>
              </w:rPr>
              <w:t>0,9072</w:t>
            </w:r>
          </w:p>
        </w:tc>
        <w:tc>
          <w:tcPr>
            <w:tcW w:w="1843" w:type="dxa"/>
            <w:shd w:val="clear" w:color="auto" w:fill="auto"/>
          </w:tcPr>
          <w:p w14:paraId="31908519" w14:textId="36811249" w:rsidR="004121D0" w:rsidRPr="004121D0" w:rsidRDefault="00FF6939" w:rsidP="004121D0">
            <w:pPr>
              <w:tabs>
                <w:tab w:val="left" w:pos="426"/>
              </w:tabs>
              <w:spacing w:after="0" w:line="240" w:lineRule="auto"/>
              <w:jc w:val="center"/>
              <w:rPr>
                <w:rFonts w:eastAsia="Times New Roman" w:cs="Arial"/>
                <w:color w:val="FF0000"/>
                <w:sz w:val="14"/>
                <w:szCs w:val="14"/>
                <w:lang w:eastAsia="de-DE"/>
              </w:rPr>
            </w:pPr>
            <w:r>
              <w:rPr>
                <w:rFonts w:eastAsia="Times New Roman" w:cs="Arial"/>
                <w:color w:val="FF0000"/>
                <w:sz w:val="14"/>
                <w:szCs w:val="14"/>
                <w:lang w:eastAsia="de-DE"/>
              </w:rPr>
              <w:t>383,11</w:t>
            </w:r>
            <w:r w:rsidR="004121D0" w:rsidRPr="004121D0">
              <w:rPr>
                <w:rFonts w:eastAsia="Times New Roman" w:cs="Arial"/>
                <w:color w:val="FF0000"/>
                <w:sz w:val="14"/>
                <w:szCs w:val="14"/>
                <w:lang w:eastAsia="de-DE"/>
              </w:rPr>
              <w:t xml:space="preserve"> Euro</w:t>
            </w:r>
          </w:p>
        </w:tc>
        <w:tc>
          <w:tcPr>
            <w:tcW w:w="1984" w:type="dxa"/>
            <w:shd w:val="clear" w:color="auto" w:fill="auto"/>
          </w:tcPr>
          <w:p w14:paraId="104EE4D4" w14:textId="3959ECB3"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color w:val="auto"/>
                <w:sz w:val="14"/>
                <w:szCs w:val="14"/>
                <w:lang w:eastAsia="de-DE"/>
              </w:rPr>
              <w:t xml:space="preserve">17 x </w:t>
            </w:r>
            <w:r w:rsidR="00FF6939">
              <w:rPr>
                <w:rFonts w:eastAsia="Times New Roman" w:cs="Arial"/>
                <w:color w:val="auto"/>
                <w:sz w:val="14"/>
                <w:szCs w:val="14"/>
                <w:lang w:eastAsia="de-DE"/>
              </w:rPr>
              <w:t>347,56</w:t>
            </w:r>
            <w:r w:rsidRPr="004121D0">
              <w:rPr>
                <w:rFonts w:eastAsia="Times New Roman" w:cs="Arial"/>
                <w:color w:val="auto"/>
                <w:sz w:val="14"/>
                <w:szCs w:val="14"/>
                <w:lang w:eastAsia="de-DE"/>
              </w:rPr>
              <w:t xml:space="preserve"> Euro</w:t>
            </w:r>
          </w:p>
          <w:p w14:paraId="3DAD5D33"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p>
          <w:p w14:paraId="3EDD529B" w14:textId="67CEE8D3" w:rsidR="004121D0" w:rsidRPr="004121D0" w:rsidRDefault="004121D0" w:rsidP="00DC7BAF">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color w:val="auto"/>
                <w:sz w:val="14"/>
                <w:szCs w:val="14"/>
                <w:lang w:eastAsia="de-DE"/>
              </w:rPr>
              <w:t>=</w:t>
            </w:r>
            <w:r w:rsidRPr="004121D0">
              <w:rPr>
                <w:rFonts w:eastAsia="Times New Roman" w:cs="Arial"/>
                <w:color w:val="auto"/>
                <w:sz w:val="14"/>
                <w:szCs w:val="14"/>
                <w:lang w:eastAsia="de-DE"/>
              </w:rPr>
              <w:t xml:space="preserve"> </w:t>
            </w:r>
            <w:r w:rsidR="00FF6939">
              <w:rPr>
                <w:rFonts w:eastAsia="Times New Roman" w:cs="Arial"/>
                <w:b/>
                <w:color w:val="auto"/>
                <w:sz w:val="14"/>
                <w:szCs w:val="14"/>
                <w:lang w:eastAsia="de-DE"/>
              </w:rPr>
              <w:t>5.908,52</w:t>
            </w:r>
            <w:r w:rsidRPr="004121D0">
              <w:rPr>
                <w:rFonts w:eastAsia="Times New Roman" w:cs="Arial"/>
                <w:b/>
                <w:color w:val="auto"/>
                <w:sz w:val="14"/>
                <w:szCs w:val="14"/>
                <w:lang w:eastAsia="de-DE"/>
              </w:rPr>
              <w:t xml:space="preserve"> Euro</w:t>
            </w:r>
          </w:p>
        </w:tc>
      </w:tr>
    </w:tbl>
    <w:p w14:paraId="41A60747" w14:textId="77777777" w:rsidR="004121D0" w:rsidRPr="004121D0" w:rsidRDefault="004121D0" w:rsidP="004121D0">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 xml:space="preserve">Bei einer </w:t>
      </w:r>
      <w:r w:rsidRPr="004121D0">
        <w:rPr>
          <w:rFonts w:eastAsia="Times New Roman" w:cs="Arial"/>
          <w:b/>
          <w:color w:val="000000"/>
          <w:sz w:val="14"/>
          <w:szCs w:val="14"/>
          <w:lang w:eastAsia="de-DE"/>
        </w:rPr>
        <w:t xml:space="preserve">Verweildauer von z.B. 29 Berechnungstagen </w:t>
      </w:r>
      <w:r w:rsidRPr="004121D0">
        <w:rPr>
          <w:rFonts w:eastAsia="Times New Roman" w:cs="Arial"/>
          <w:color w:val="000000"/>
          <w:sz w:val="14"/>
          <w:szCs w:val="14"/>
          <w:lang w:eastAsia="de-DE"/>
        </w:rPr>
        <w:t xml:space="preserve">ist die tatsächliche Verweildauer länger als die letzte im Katalog ausgewiesene Vergütungsklasse. Damit ist für die Abrechnung die Bewertungsrelation der letzten Vergütungsklasse heranzuziehen. </w:t>
      </w:r>
    </w:p>
    <w:p w14:paraId="19720EDB" w14:textId="77777777" w:rsidR="004121D0" w:rsidRPr="004121D0" w:rsidRDefault="004121D0" w:rsidP="004121D0">
      <w:pPr>
        <w:tabs>
          <w:tab w:val="left" w:pos="426"/>
        </w:tabs>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Dies würde zu folgendem Entgelt führen: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08"/>
        <w:gridCol w:w="2249"/>
        <w:gridCol w:w="1830"/>
        <w:gridCol w:w="1953"/>
      </w:tblGrid>
      <w:tr w:rsidR="004121D0" w:rsidRPr="004121D0" w14:paraId="4ADDCCE3" w14:textId="77777777" w:rsidTr="00A257C9">
        <w:tc>
          <w:tcPr>
            <w:tcW w:w="851" w:type="dxa"/>
            <w:shd w:val="clear" w:color="auto" w:fill="D9D9D9"/>
          </w:tcPr>
          <w:p w14:paraId="47B095CA"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PEPP</w:t>
            </w:r>
          </w:p>
        </w:tc>
        <w:tc>
          <w:tcPr>
            <w:tcW w:w="3260" w:type="dxa"/>
            <w:shd w:val="clear" w:color="auto" w:fill="D9D9D9"/>
          </w:tcPr>
          <w:p w14:paraId="5C6F42FE"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Bezeichnung</w:t>
            </w:r>
          </w:p>
        </w:tc>
        <w:tc>
          <w:tcPr>
            <w:tcW w:w="2268" w:type="dxa"/>
            <w:shd w:val="clear" w:color="auto" w:fill="D9D9D9"/>
          </w:tcPr>
          <w:p w14:paraId="3369F798"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Bewertungsrelation</w:t>
            </w:r>
          </w:p>
        </w:tc>
        <w:tc>
          <w:tcPr>
            <w:tcW w:w="1843" w:type="dxa"/>
            <w:shd w:val="clear" w:color="auto" w:fill="D9D9D9"/>
          </w:tcPr>
          <w:p w14:paraId="034C5C96"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Basisentgeltwert</w:t>
            </w:r>
          </w:p>
        </w:tc>
        <w:tc>
          <w:tcPr>
            <w:tcW w:w="1984" w:type="dxa"/>
            <w:shd w:val="clear" w:color="auto" w:fill="D9D9D9"/>
          </w:tcPr>
          <w:p w14:paraId="23889C38"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b/>
                <w:noProof/>
                <w:color w:val="auto"/>
                <w:sz w:val="14"/>
                <w:szCs w:val="14"/>
                <w:lang w:eastAsia="de-DE"/>
              </w:rPr>
              <w:t>Entgelt</w:t>
            </w:r>
          </w:p>
        </w:tc>
      </w:tr>
      <w:tr w:rsidR="004121D0" w:rsidRPr="004121D0" w14:paraId="2A73186D" w14:textId="77777777" w:rsidTr="00A257C9">
        <w:tc>
          <w:tcPr>
            <w:tcW w:w="851" w:type="dxa"/>
            <w:shd w:val="clear" w:color="auto" w:fill="auto"/>
          </w:tcPr>
          <w:p w14:paraId="3A0A0851" w14:textId="77777777" w:rsidR="004121D0" w:rsidRPr="004121D0" w:rsidRDefault="004121D0" w:rsidP="004121D0">
            <w:pPr>
              <w:tabs>
                <w:tab w:val="left" w:pos="426"/>
              </w:tabs>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PA04C</w:t>
            </w:r>
          </w:p>
        </w:tc>
        <w:tc>
          <w:tcPr>
            <w:tcW w:w="3260" w:type="dxa"/>
            <w:shd w:val="clear" w:color="auto" w:fill="auto"/>
          </w:tcPr>
          <w:p w14:paraId="2DEDDBD3" w14:textId="77777777" w:rsidR="004121D0" w:rsidRPr="004121D0" w:rsidRDefault="004121D0" w:rsidP="004121D0">
            <w:pPr>
              <w:spacing w:after="0" w:line="240" w:lineRule="auto"/>
              <w:rPr>
                <w:rFonts w:eastAsia="Times New Roman" w:cs="Arial"/>
                <w:i/>
                <w:color w:val="auto"/>
                <w:sz w:val="14"/>
                <w:szCs w:val="14"/>
                <w:lang w:eastAsia="de-DE"/>
              </w:rPr>
            </w:pPr>
            <w:r w:rsidRPr="004121D0">
              <w:rPr>
                <w:rFonts w:eastAsia="Arial" w:cs="Arial"/>
                <w:color w:val="000000"/>
                <w:sz w:val="12"/>
                <w:szCs w:val="12"/>
                <w:lang w:eastAsia="de-DE"/>
              </w:rPr>
              <w:t>Affektive, neurotische, Belastungs-, somatoforme und Schlafstörungen, Alter &lt; 65 Jahre, ohne komplizierende Konstellation, ohne komplizierende Diagnose, ohne erhebliche Pflegebedürftigkeit</w:t>
            </w:r>
          </w:p>
        </w:tc>
        <w:tc>
          <w:tcPr>
            <w:tcW w:w="2268" w:type="dxa"/>
            <w:shd w:val="clear" w:color="auto" w:fill="auto"/>
          </w:tcPr>
          <w:p w14:paraId="191703AC" w14:textId="6CFE7E1B" w:rsidR="004121D0" w:rsidRPr="004121D0" w:rsidRDefault="00C80B77" w:rsidP="004121D0">
            <w:pPr>
              <w:tabs>
                <w:tab w:val="left" w:pos="426"/>
              </w:tabs>
              <w:spacing w:after="0" w:line="240" w:lineRule="auto"/>
              <w:jc w:val="center"/>
              <w:rPr>
                <w:rFonts w:eastAsia="Times New Roman" w:cs="Arial"/>
                <w:color w:val="auto"/>
                <w:sz w:val="14"/>
                <w:szCs w:val="14"/>
                <w:lang w:eastAsia="de-DE"/>
              </w:rPr>
            </w:pPr>
            <w:r>
              <w:rPr>
                <w:rFonts w:eastAsia="Times New Roman" w:cs="Arial"/>
                <w:color w:val="auto"/>
                <w:sz w:val="14"/>
                <w:szCs w:val="14"/>
                <w:lang w:eastAsia="de-DE"/>
              </w:rPr>
              <w:t>0,8749</w:t>
            </w:r>
          </w:p>
        </w:tc>
        <w:tc>
          <w:tcPr>
            <w:tcW w:w="1843" w:type="dxa"/>
            <w:shd w:val="clear" w:color="auto" w:fill="auto"/>
          </w:tcPr>
          <w:p w14:paraId="22F4A50B" w14:textId="60DEA2D3" w:rsidR="004121D0" w:rsidRPr="004121D0" w:rsidRDefault="00FF6939" w:rsidP="004121D0">
            <w:pPr>
              <w:tabs>
                <w:tab w:val="left" w:pos="426"/>
              </w:tabs>
              <w:spacing w:after="0" w:line="240" w:lineRule="auto"/>
              <w:jc w:val="center"/>
              <w:rPr>
                <w:rFonts w:eastAsia="Times New Roman" w:cs="Arial"/>
                <w:color w:val="FF0000"/>
                <w:sz w:val="14"/>
                <w:szCs w:val="14"/>
                <w:lang w:eastAsia="de-DE"/>
              </w:rPr>
            </w:pPr>
            <w:r>
              <w:rPr>
                <w:rFonts w:eastAsia="Times New Roman" w:cs="Arial"/>
                <w:color w:val="FF0000"/>
                <w:sz w:val="14"/>
                <w:szCs w:val="14"/>
                <w:lang w:eastAsia="de-DE"/>
              </w:rPr>
              <w:t>383,11</w:t>
            </w:r>
            <w:r w:rsidR="004121D0" w:rsidRPr="004121D0">
              <w:rPr>
                <w:rFonts w:eastAsia="Times New Roman" w:cs="Arial"/>
                <w:color w:val="FF0000"/>
                <w:sz w:val="14"/>
                <w:szCs w:val="14"/>
                <w:lang w:eastAsia="de-DE"/>
              </w:rPr>
              <w:t xml:space="preserve"> Euro</w:t>
            </w:r>
          </w:p>
        </w:tc>
        <w:tc>
          <w:tcPr>
            <w:tcW w:w="1984" w:type="dxa"/>
            <w:shd w:val="clear" w:color="auto" w:fill="auto"/>
          </w:tcPr>
          <w:p w14:paraId="1E6C5C62" w14:textId="0F041A76"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r w:rsidRPr="004121D0">
              <w:rPr>
                <w:rFonts w:eastAsia="Times New Roman" w:cs="Arial"/>
                <w:color w:val="auto"/>
                <w:sz w:val="14"/>
                <w:szCs w:val="14"/>
                <w:lang w:eastAsia="de-DE"/>
              </w:rPr>
              <w:t xml:space="preserve">29 x </w:t>
            </w:r>
            <w:r w:rsidR="00FF6939">
              <w:rPr>
                <w:rFonts w:eastAsia="Times New Roman" w:cs="Arial"/>
                <w:color w:val="auto"/>
                <w:sz w:val="14"/>
                <w:szCs w:val="14"/>
                <w:lang w:eastAsia="de-DE"/>
              </w:rPr>
              <w:t>335,18</w:t>
            </w:r>
            <w:r w:rsidRPr="004121D0">
              <w:rPr>
                <w:rFonts w:eastAsia="Times New Roman" w:cs="Arial"/>
                <w:color w:val="auto"/>
                <w:sz w:val="14"/>
                <w:szCs w:val="14"/>
                <w:lang w:eastAsia="de-DE"/>
              </w:rPr>
              <w:t xml:space="preserve"> Euro</w:t>
            </w:r>
          </w:p>
          <w:p w14:paraId="3E20D6B8" w14:textId="77777777" w:rsidR="004121D0" w:rsidRPr="004121D0" w:rsidRDefault="004121D0" w:rsidP="004121D0">
            <w:pPr>
              <w:tabs>
                <w:tab w:val="left" w:pos="426"/>
              </w:tabs>
              <w:spacing w:after="0" w:line="240" w:lineRule="auto"/>
              <w:jc w:val="center"/>
              <w:rPr>
                <w:rFonts w:eastAsia="Times New Roman" w:cs="Arial"/>
                <w:color w:val="auto"/>
                <w:sz w:val="14"/>
                <w:szCs w:val="14"/>
                <w:lang w:eastAsia="de-DE"/>
              </w:rPr>
            </w:pPr>
          </w:p>
          <w:p w14:paraId="0CDA36C0" w14:textId="6B5CB10E" w:rsidR="004121D0" w:rsidRPr="004121D0" w:rsidRDefault="004121D0" w:rsidP="004F26B0">
            <w:pPr>
              <w:tabs>
                <w:tab w:val="left" w:pos="426"/>
              </w:tabs>
              <w:spacing w:after="0" w:line="240" w:lineRule="auto"/>
              <w:jc w:val="center"/>
              <w:rPr>
                <w:rFonts w:eastAsia="Times New Roman" w:cs="Arial"/>
                <w:b/>
                <w:color w:val="auto"/>
                <w:sz w:val="14"/>
                <w:szCs w:val="14"/>
                <w:lang w:eastAsia="de-DE"/>
              </w:rPr>
            </w:pPr>
            <w:r w:rsidRPr="004121D0">
              <w:rPr>
                <w:rFonts w:eastAsia="Times New Roman" w:cs="Arial"/>
                <w:b/>
                <w:color w:val="auto"/>
                <w:sz w:val="14"/>
                <w:szCs w:val="14"/>
                <w:lang w:eastAsia="de-DE"/>
              </w:rPr>
              <w:t xml:space="preserve">=  </w:t>
            </w:r>
            <w:r w:rsidR="00FF6939">
              <w:rPr>
                <w:rFonts w:eastAsia="Times New Roman" w:cs="Arial"/>
                <w:b/>
                <w:color w:val="auto"/>
                <w:sz w:val="14"/>
                <w:szCs w:val="14"/>
                <w:lang w:eastAsia="de-DE"/>
              </w:rPr>
              <w:t>9.720,22</w:t>
            </w:r>
            <w:r w:rsidRPr="004121D0">
              <w:rPr>
                <w:rFonts w:eastAsia="Times New Roman" w:cs="Arial"/>
                <w:b/>
                <w:color w:val="auto"/>
                <w:sz w:val="14"/>
                <w:szCs w:val="14"/>
                <w:lang w:eastAsia="de-DE"/>
              </w:rPr>
              <w:t xml:space="preserve"> Euro</w:t>
            </w:r>
          </w:p>
        </w:tc>
      </w:tr>
    </w:tbl>
    <w:p w14:paraId="1C7CDBAD" w14:textId="68A1CBF9" w:rsidR="004121D0" w:rsidRDefault="004121D0" w:rsidP="004121D0">
      <w:pPr>
        <w:keepNext/>
        <w:spacing w:after="0" w:line="240" w:lineRule="auto"/>
        <w:jc w:val="both"/>
        <w:outlineLvl w:val="0"/>
        <w:rPr>
          <w:rFonts w:eastAsia="Times New Roman" w:cs="Arial"/>
          <w:noProof/>
          <w:color w:val="auto"/>
          <w:sz w:val="14"/>
          <w:szCs w:val="14"/>
          <w:lang w:eastAsia="de-DE"/>
        </w:rPr>
      </w:pPr>
      <w:r w:rsidRPr="004121D0">
        <w:rPr>
          <w:rFonts w:eastAsia="Times New Roman" w:cs="Arial"/>
          <w:noProof/>
          <w:color w:val="auto"/>
          <w:sz w:val="14"/>
          <w:szCs w:val="14"/>
          <w:lang w:eastAsia="de-DE"/>
        </w:rPr>
        <w:t>Welche PEPP bei Ihrem Krankheitsbild letztlich für die Abrechnung heranzuziehen ist, lässt sich nicht vorhersagen. Hierfür kommt es insbesondere darauf an, welche Diagnose(n) am Ende des stationären Aufenthaltes gestellt und welche diagnostischen beziehungsweise therapeutischen Leistungen im Fortgang des Behandlungsgeschehens konkret erbracht werden. Für das Jahr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 xml:space="preserve"> werden die bundeseinheitlichen PEPP durch die Anlagen 1a und 2a der PEPP-Vereinbarung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 xml:space="preserve"> (PEPPV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 vorgegeben.</w:t>
      </w:r>
    </w:p>
    <w:p w14:paraId="221B0F96" w14:textId="77777777" w:rsidR="00A77C26" w:rsidRPr="004121D0" w:rsidRDefault="00A77C26" w:rsidP="004121D0">
      <w:pPr>
        <w:keepNext/>
        <w:spacing w:after="0" w:line="240" w:lineRule="auto"/>
        <w:jc w:val="both"/>
        <w:outlineLvl w:val="0"/>
        <w:rPr>
          <w:rFonts w:eastAsia="Times New Roman" w:cs="Arial"/>
          <w:noProof/>
          <w:color w:val="auto"/>
          <w:sz w:val="14"/>
          <w:szCs w:val="14"/>
          <w:lang w:eastAsia="de-DE"/>
        </w:rPr>
      </w:pPr>
    </w:p>
    <w:p w14:paraId="7D0439A9" w14:textId="2C8F9943"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2. Ergänzende Tagesentgelte gem. § 6 PEPPV 202</w:t>
      </w:r>
      <w:r w:rsidR="00860EEB">
        <w:rPr>
          <w:rFonts w:eastAsia="Times New Roman" w:cs="Arial"/>
          <w:b/>
          <w:color w:val="auto"/>
          <w:sz w:val="14"/>
          <w:szCs w:val="14"/>
          <w:highlight w:val="lightGray"/>
          <w:u w:val="single"/>
          <w:lang w:eastAsia="de-DE"/>
        </w:rPr>
        <w:t>5</w:t>
      </w:r>
    </w:p>
    <w:p w14:paraId="262502FB"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Zusätzlich zu den mit Bewertungsrelationen bewerteten Entgelten nach den Anlagen 1a und 2a oder zu den Entgelten nach § 6 Absatz 1 BPflV können bundeseinheitliche ergänzende Tagesentgelte abgerechnet werden.</w:t>
      </w:r>
    </w:p>
    <w:p w14:paraId="74F010F3" w14:textId="6DBDB88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Die ergänzenden Tagesentgelte sind, wie die PEPP, mit Bewertungsrelationen hinterlegt (Anlage 5 PEPPV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w:t>
      </w:r>
    </w:p>
    <w:p w14:paraId="38C73C34" w14:textId="15D7ED24" w:rsidR="004121D0" w:rsidRPr="004121D0" w:rsidRDefault="004121D0" w:rsidP="004121D0">
      <w:pPr>
        <w:keepNext/>
        <w:spacing w:after="0" w:line="240" w:lineRule="auto"/>
        <w:outlineLvl w:val="3"/>
        <w:rPr>
          <w:rFonts w:eastAsia="Arial" w:cs="Arial"/>
          <w:b/>
          <w:color w:val="auto"/>
          <w:sz w:val="14"/>
          <w:szCs w:val="14"/>
          <w:lang w:eastAsia="de-DE"/>
        </w:rPr>
      </w:pPr>
      <w:r w:rsidRPr="004121D0">
        <w:rPr>
          <w:rFonts w:eastAsia="Arial" w:cs="Arial"/>
          <w:b/>
          <w:color w:val="auto"/>
          <w:sz w:val="14"/>
          <w:szCs w:val="14"/>
          <w:lang w:eastAsia="de-DE"/>
        </w:rPr>
        <w:t xml:space="preserve">PEPP-Entgeltkatalog </w:t>
      </w:r>
      <w:r w:rsidRPr="004121D0">
        <w:rPr>
          <w:rFonts w:eastAsia="Arial" w:cs="Arial"/>
          <w:b/>
          <w:color w:val="000000"/>
          <w:sz w:val="14"/>
          <w:szCs w:val="14"/>
          <w:lang w:eastAsia="de-DE"/>
        </w:rPr>
        <w:t>Katalog ergänzender Tagesentgelte - Anlage 5</w:t>
      </w:r>
      <w:r w:rsidRPr="004121D0">
        <w:rPr>
          <w:rFonts w:eastAsia="Arial" w:cs="Arial"/>
          <w:b/>
          <w:color w:val="000000"/>
          <w:sz w:val="14"/>
          <w:szCs w:val="14"/>
          <w:lang w:eastAsia="de-DE"/>
        </w:rPr>
        <w:tab/>
      </w:r>
      <w:r w:rsidRPr="004121D0">
        <w:rPr>
          <w:rFonts w:eastAsia="Arial" w:cs="Arial"/>
          <w:b/>
          <w:color w:val="000000"/>
          <w:sz w:val="14"/>
          <w:szCs w:val="14"/>
          <w:lang w:eastAsia="de-DE"/>
        </w:rPr>
        <w:tab/>
      </w:r>
      <w:r w:rsidRPr="004121D0">
        <w:rPr>
          <w:rFonts w:eastAsia="Arial" w:cs="Arial"/>
          <w:b/>
          <w:color w:val="000000"/>
          <w:sz w:val="14"/>
          <w:szCs w:val="14"/>
          <w:lang w:eastAsia="de-DE"/>
        </w:rPr>
        <w:tab/>
      </w:r>
      <w:r w:rsidRPr="004121D0">
        <w:rPr>
          <w:rFonts w:eastAsia="Arial" w:cs="Arial"/>
          <w:b/>
          <w:color w:val="000000"/>
          <w:sz w:val="14"/>
          <w:szCs w:val="14"/>
          <w:lang w:eastAsia="de-DE"/>
        </w:rPr>
        <w:tab/>
      </w:r>
      <w:r w:rsidRPr="004121D0">
        <w:rPr>
          <w:rFonts w:eastAsia="Arial" w:cs="Arial"/>
          <w:b/>
          <w:color w:val="000000"/>
          <w:sz w:val="14"/>
          <w:szCs w:val="14"/>
          <w:lang w:eastAsia="de-DE"/>
        </w:rPr>
        <w:tab/>
      </w:r>
      <w:r w:rsidRPr="004121D0">
        <w:rPr>
          <w:rFonts w:eastAsia="Arial" w:cs="Arial"/>
          <w:b/>
          <w:color w:val="000000"/>
          <w:sz w:val="14"/>
          <w:szCs w:val="14"/>
          <w:lang w:eastAsia="de-DE"/>
        </w:rPr>
        <w:tab/>
        <w:t xml:space="preserve">           PEPP Version 202</w:t>
      </w:r>
      <w:r w:rsidR="00860EEB">
        <w:rPr>
          <w:rFonts w:eastAsia="Arial" w:cs="Arial"/>
          <w:b/>
          <w:color w:val="000000"/>
          <w:sz w:val="14"/>
          <w:szCs w:val="14"/>
          <w:lang w:eastAsia="de-DE"/>
        </w:rPr>
        <w:t>5</w:t>
      </w:r>
    </w:p>
    <w:tbl>
      <w:tblPr>
        <w:tblStyle w:val="Tabellenraster8"/>
        <w:tblW w:w="0" w:type="auto"/>
        <w:tblLook w:val="04A0" w:firstRow="1" w:lastRow="0" w:firstColumn="1" w:lastColumn="0" w:noHBand="0" w:noVBand="1"/>
      </w:tblPr>
      <w:tblGrid>
        <w:gridCol w:w="777"/>
        <w:gridCol w:w="2542"/>
        <w:gridCol w:w="886"/>
        <w:gridCol w:w="951"/>
        <w:gridCol w:w="4006"/>
        <w:gridCol w:w="1032"/>
      </w:tblGrid>
      <w:tr w:rsidR="004121D0" w:rsidRPr="004121D0" w14:paraId="0AA2E184" w14:textId="77777777" w:rsidTr="00A257C9">
        <w:trPr>
          <w:trHeight w:val="255"/>
        </w:trPr>
        <w:tc>
          <w:tcPr>
            <w:tcW w:w="920" w:type="dxa"/>
            <w:vMerge w:val="restart"/>
            <w:shd w:val="clear" w:color="auto" w:fill="D9D9D9" w:themeFill="background1" w:themeFillShade="D9"/>
            <w:noWrap/>
            <w:hideMark/>
          </w:tcPr>
          <w:p w14:paraId="4E5D6F88"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ET</w:t>
            </w:r>
          </w:p>
        </w:tc>
        <w:tc>
          <w:tcPr>
            <w:tcW w:w="3140" w:type="dxa"/>
            <w:vMerge w:val="restart"/>
            <w:shd w:val="clear" w:color="auto" w:fill="D9D9D9" w:themeFill="background1" w:themeFillShade="D9"/>
            <w:noWrap/>
            <w:hideMark/>
          </w:tcPr>
          <w:p w14:paraId="718C89AC"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Bezeichnung</w:t>
            </w:r>
          </w:p>
        </w:tc>
        <w:tc>
          <w:tcPr>
            <w:tcW w:w="1058" w:type="dxa"/>
            <w:vMerge w:val="restart"/>
            <w:shd w:val="clear" w:color="auto" w:fill="D9D9D9" w:themeFill="background1" w:themeFillShade="D9"/>
            <w:hideMark/>
          </w:tcPr>
          <w:p w14:paraId="378A8073"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ET</w:t>
            </w:r>
            <w:r w:rsidRPr="004121D0">
              <w:rPr>
                <w:rFonts w:eastAsia="Arial" w:cs="Arial"/>
                <w:b/>
                <w:bCs/>
                <w:sz w:val="14"/>
                <w:szCs w:val="14"/>
                <w:vertAlign w:val="subscript"/>
              </w:rPr>
              <w:t>D</w:t>
            </w:r>
          </w:p>
        </w:tc>
        <w:tc>
          <w:tcPr>
            <w:tcW w:w="6120" w:type="dxa"/>
            <w:gridSpan w:val="2"/>
            <w:shd w:val="clear" w:color="auto" w:fill="D9D9D9" w:themeFill="background1" w:themeFillShade="D9"/>
            <w:noWrap/>
            <w:hideMark/>
          </w:tcPr>
          <w:p w14:paraId="576E8415"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OPS Version 2024</w:t>
            </w:r>
          </w:p>
        </w:tc>
        <w:tc>
          <w:tcPr>
            <w:tcW w:w="1242" w:type="dxa"/>
            <w:vMerge w:val="restart"/>
            <w:shd w:val="clear" w:color="auto" w:fill="D9D9D9" w:themeFill="background1" w:themeFillShade="D9"/>
            <w:hideMark/>
          </w:tcPr>
          <w:p w14:paraId="45CDFE55"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Bewertungs- relation / Tag</w:t>
            </w:r>
          </w:p>
        </w:tc>
      </w:tr>
      <w:tr w:rsidR="004121D0" w:rsidRPr="004121D0" w14:paraId="13544B95" w14:textId="77777777" w:rsidTr="00A257C9">
        <w:trPr>
          <w:trHeight w:val="244"/>
        </w:trPr>
        <w:tc>
          <w:tcPr>
            <w:tcW w:w="920" w:type="dxa"/>
            <w:vMerge/>
            <w:shd w:val="clear" w:color="auto" w:fill="D9D9D9" w:themeFill="background1" w:themeFillShade="D9"/>
            <w:hideMark/>
          </w:tcPr>
          <w:p w14:paraId="25B2483E" w14:textId="77777777" w:rsidR="004121D0" w:rsidRPr="004121D0" w:rsidRDefault="004121D0" w:rsidP="004121D0">
            <w:pPr>
              <w:jc w:val="center"/>
              <w:rPr>
                <w:rFonts w:eastAsia="Arial" w:cs="Arial"/>
                <w:b/>
                <w:bCs/>
                <w:sz w:val="14"/>
                <w:szCs w:val="14"/>
              </w:rPr>
            </w:pPr>
          </w:p>
        </w:tc>
        <w:tc>
          <w:tcPr>
            <w:tcW w:w="3140" w:type="dxa"/>
            <w:vMerge/>
            <w:shd w:val="clear" w:color="auto" w:fill="D9D9D9" w:themeFill="background1" w:themeFillShade="D9"/>
            <w:hideMark/>
          </w:tcPr>
          <w:p w14:paraId="438A2A58" w14:textId="77777777" w:rsidR="004121D0" w:rsidRPr="004121D0" w:rsidRDefault="004121D0" w:rsidP="004121D0">
            <w:pPr>
              <w:jc w:val="center"/>
              <w:rPr>
                <w:rFonts w:eastAsia="Arial" w:cs="Arial"/>
                <w:b/>
                <w:bCs/>
                <w:sz w:val="14"/>
                <w:szCs w:val="14"/>
              </w:rPr>
            </w:pPr>
          </w:p>
        </w:tc>
        <w:tc>
          <w:tcPr>
            <w:tcW w:w="1058" w:type="dxa"/>
            <w:vMerge/>
            <w:shd w:val="clear" w:color="auto" w:fill="D9D9D9" w:themeFill="background1" w:themeFillShade="D9"/>
            <w:hideMark/>
          </w:tcPr>
          <w:p w14:paraId="2687582C" w14:textId="77777777" w:rsidR="004121D0" w:rsidRPr="004121D0" w:rsidRDefault="004121D0" w:rsidP="004121D0">
            <w:pPr>
              <w:jc w:val="center"/>
              <w:rPr>
                <w:rFonts w:eastAsia="Arial" w:cs="Arial"/>
                <w:b/>
                <w:bCs/>
                <w:sz w:val="14"/>
                <w:szCs w:val="14"/>
              </w:rPr>
            </w:pPr>
          </w:p>
        </w:tc>
        <w:tc>
          <w:tcPr>
            <w:tcW w:w="1140" w:type="dxa"/>
            <w:shd w:val="clear" w:color="auto" w:fill="D9D9D9" w:themeFill="background1" w:themeFillShade="D9"/>
            <w:hideMark/>
          </w:tcPr>
          <w:p w14:paraId="314E6089"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OPS-Kode</w:t>
            </w:r>
          </w:p>
        </w:tc>
        <w:tc>
          <w:tcPr>
            <w:tcW w:w="4980" w:type="dxa"/>
            <w:shd w:val="clear" w:color="auto" w:fill="D9D9D9" w:themeFill="background1" w:themeFillShade="D9"/>
            <w:noWrap/>
            <w:hideMark/>
          </w:tcPr>
          <w:p w14:paraId="26DA255D"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OPS-Text</w:t>
            </w:r>
          </w:p>
        </w:tc>
        <w:tc>
          <w:tcPr>
            <w:tcW w:w="1242" w:type="dxa"/>
            <w:vMerge/>
            <w:shd w:val="clear" w:color="auto" w:fill="D9D9D9" w:themeFill="background1" w:themeFillShade="D9"/>
            <w:hideMark/>
          </w:tcPr>
          <w:p w14:paraId="19D8201A" w14:textId="77777777" w:rsidR="004121D0" w:rsidRPr="004121D0" w:rsidRDefault="004121D0" w:rsidP="004121D0">
            <w:pPr>
              <w:jc w:val="center"/>
              <w:rPr>
                <w:rFonts w:eastAsia="Arial" w:cs="Arial"/>
                <w:b/>
                <w:bCs/>
                <w:sz w:val="14"/>
                <w:szCs w:val="14"/>
              </w:rPr>
            </w:pPr>
          </w:p>
        </w:tc>
      </w:tr>
      <w:tr w:rsidR="004121D0" w:rsidRPr="004121D0" w14:paraId="31ABBE7D" w14:textId="77777777" w:rsidTr="00A257C9">
        <w:trPr>
          <w:trHeight w:val="255"/>
        </w:trPr>
        <w:tc>
          <w:tcPr>
            <w:tcW w:w="920" w:type="dxa"/>
            <w:shd w:val="clear" w:color="auto" w:fill="D9D9D9" w:themeFill="background1" w:themeFillShade="D9"/>
            <w:noWrap/>
            <w:hideMark/>
          </w:tcPr>
          <w:p w14:paraId="23E44735"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1</w:t>
            </w:r>
          </w:p>
        </w:tc>
        <w:tc>
          <w:tcPr>
            <w:tcW w:w="3140" w:type="dxa"/>
            <w:shd w:val="clear" w:color="auto" w:fill="D9D9D9" w:themeFill="background1" w:themeFillShade="D9"/>
            <w:hideMark/>
          </w:tcPr>
          <w:p w14:paraId="078C78F3"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2</w:t>
            </w:r>
          </w:p>
        </w:tc>
        <w:tc>
          <w:tcPr>
            <w:tcW w:w="1058" w:type="dxa"/>
            <w:shd w:val="clear" w:color="auto" w:fill="D9D9D9" w:themeFill="background1" w:themeFillShade="D9"/>
            <w:noWrap/>
            <w:hideMark/>
          </w:tcPr>
          <w:p w14:paraId="3308BAB3"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3</w:t>
            </w:r>
          </w:p>
        </w:tc>
        <w:tc>
          <w:tcPr>
            <w:tcW w:w="1140" w:type="dxa"/>
            <w:shd w:val="clear" w:color="auto" w:fill="D9D9D9" w:themeFill="background1" w:themeFillShade="D9"/>
            <w:noWrap/>
            <w:hideMark/>
          </w:tcPr>
          <w:p w14:paraId="70EF363F"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4</w:t>
            </w:r>
          </w:p>
        </w:tc>
        <w:tc>
          <w:tcPr>
            <w:tcW w:w="4980" w:type="dxa"/>
            <w:shd w:val="clear" w:color="auto" w:fill="D9D9D9" w:themeFill="background1" w:themeFillShade="D9"/>
            <w:noWrap/>
            <w:hideMark/>
          </w:tcPr>
          <w:p w14:paraId="24010B32"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5</w:t>
            </w:r>
          </w:p>
        </w:tc>
        <w:tc>
          <w:tcPr>
            <w:tcW w:w="1242" w:type="dxa"/>
            <w:shd w:val="clear" w:color="auto" w:fill="D9D9D9" w:themeFill="background1" w:themeFillShade="D9"/>
            <w:noWrap/>
            <w:hideMark/>
          </w:tcPr>
          <w:p w14:paraId="57173DD3" w14:textId="77777777" w:rsidR="004121D0" w:rsidRPr="004121D0" w:rsidRDefault="004121D0" w:rsidP="004121D0">
            <w:pPr>
              <w:jc w:val="center"/>
              <w:rPr>
                <w:rFonts w:eastAsia="Arial" w:cs="Arial"/>
                <w:b/>
                <w:bCs/>
                <w:sz w:val="14"/>
                <w:szCs w:val="14"/>
              </w:rPr>
            </w:pPr>
            <w:r w:rsidRPr="004121D0">
              <w:rPr>
                <w:rFonts w:eastAsia="Arial" w:cs="Arial"/>
                <w:b/>
                <w:bCs/>
                <w:sz w:val="14"/>
                <w:szCs w:val="14"/>
              </w:rPr>
              <w:t>6</w:t>
            </w:r>
          </w:p>
        </w:tc>
      </w:tr>
      <w:tr w:rsidR="004121D0" w:rsidRPr="004121D0" w14:paraId="498F97DA" w14:textId="77777777" w:rsidTr="00A257C9">
        <w:trPr>
          <w:trHeight w:val="577"/>
        </w:trPr>
        <w:tc>
          <w:tcPr>
            <w:tcW w:w="920" w:type="dxa"/>
            <w:vMerge w:val="restart"/>
            <w:hideMark/>
          </w:tcPr>
          <w:p w14:paraId="24B79E66" w14:textId="77777777" w:rsidR="004121D0" w:rsidRPr="004121D0" w:rsidRDefault="004121D0" w:rsidP="004121D0">
            <w:pPr>
              <w:rPr>
                <w:rFonts w:eastAsia="Arial" w:cs="Arial"/>
                <w:sz w:val="14"/>
                <w:szCs w:val="14"/>
              </w:rPr>
            </w:pPr>
            <w:r w:rsidRPr="004121D0">
              <w:rPr>
                <w:rFonts w:eastAsia="Arial" w:cs="Arial"/>
                <w:sz w:val="14"/>
                <w:szCs w:val="14"/>
              </w:rPr>
              <w:t>ET01</w:t>
            </w:r>
          </w:p>
        </w:tc>
        <w:tc>
          <w:tcPr>
            <w:tcW w:w="3140" w:type="dxa"/>
            <w:vMerge w:val="restart"/>
            <w:hideMark/>
          </w:tcPr>
          <w:p w14:paraId="3344727E" w14:textId="77777777" w:rsidR="004121D0" w:rsidRPr="004121D0" w:rsidRDefault="004121D0" w:rsidP="004121D0">
            <w:pPr>
              <w:rPr>
                <w:rFonts w:eastAsia="Arial" w:cs="Arial"/>
                <w:sz w:val="14"/>
                <w:szCs w:val="14"/>
              </w:rPr>
            </w:pPr>
            <w:r w:rsidRPr="004121D0">
              <w:rPr>
                <w:rFonts w:eastAsia="Arial" w:cs="Arial"/>
                <w:sz w:val="14"/>
                <w:szCs w:val="14"/>
              </w:rPr>
              <w:t>Erhöhter Betreuungsaufwand bei psychischen und psychosomatischen Störungen und Verhaltensstörungen bei Erwachsenen</w:t>
            </w:r>
          </w:p>
        </w:tc>
        <w:tc>
          <w:tcPr>
            <w:tcW w:w="1058" w:type="dxa"/>
            <w:hideMark/>
          </w:tcPr>
          <w:p w14:paraId="63E91188" w14:textId="77777777" w:rsidR="004121D0" w:rsidRPr="004121D0" w:rsidRDefault="004121D0" w:rsidP="004121D0">
            <w:pPr>
              <w:rPr>
                <w:rFonts w:eastAsia="Arial" w:cs="Arial"/>
                <w:sz w:val="14"/>
                <w:szCs w:val="14"/>
              </w:rPr>
            </w:pPr>
            <w:r w:rsidRPr="004121D0">
              <w:rPr>
                <w:rFonts w:eastAsia="Arial" w:cs="Arial"/>
                <w:sz w:val="14"/>
                <w:szCs w:val="14"/>
              </w:rPr>
              <w:t> </w:t>
            </w:r>
          </w:p>
        </w:tc>
        <w:tc>
          <w:tcPr>
            <w:tcW w:w="1140" w:type="dxa"/>
            <w:hideMark/>
          </w:tcPr>
          <w:p w14:paraId="7F526C5D" w14:textId="77777777" w:rsidR="004121D0" w:rsidRPr="004121D0" w:rsidRDefault="004121D0" w:rsidP="004121D0">
            <w:pPr>
              <w:rPr>
                <w:rFonts w:eastAsia="Arial" w:cs="Arial"/>
                <w:sz w:val="14"/>
                <w:szCs w:val="14"/>
              </w:rPr>
            </w:pPr>
            <w:r w:rsidRPr="004121D0">
              <w:rPr>
                <w:rFonts w:eastAsia="Arial" w:cs="Arial"/>
                <w:sz w:val="14"/>
                <w:szCs w:val="14"/>
              </w:rPr>
              <w:t>9-640.0</w:t>
            </w:r>
          </w:p>
        </w:tc>
        <w:tc>
          <w:tcPr>
            <w:tcW w:w="4980" w:type="dxa"/>
            <w:hideMark/>
          </w:tcPr>
          <w:p w14:paraId="18142373" w14:textId="77777777" w:rsidR="004121D0" w:rsidRPr="004121D0" w:rsidRDefault="004121D0" w:rsidP="004121D0">
            <w:pPr>
              <w:rPr>
                <w:rFonts w:eastAsia="Arial" w:cs="Arial"/>
                <w:sz w:val="14"/>
                <w:szCs w:val="14"/>
              </w:rPr>
            </w:pPr>
            <w:r w:rsidRPr="004121D0">
              <w:rPr>
                <w:rFonts w:eastAsia="Arial" w:cs="Arial"/>
                <w:sz w:val="14"/>
                <w:szCs w:val="14"/>
              </w:rPr>
              <w:t>Erhöhter Betreuungsaufwand bei psychischen und psychosomatischen Störungen und Verhaltensstörungen bei Erwachsenen: 1:1-Betreuung</w:t>
            </w:r>
          </w:p>
        </w:tc>
        <w:tc>
          <w:tcPr>
            <w:tcW w:w="1242" w:type="dxa"/>
            <w:noWrap/>
            <w:hideMark/>
          </w:tcPr>
          <w:p w14:paraId="57A0A966" w14:textId="77777777" w:rsidR="004121D0" w:rsidRPr="004121D0" w:rsidRDefault="004121D0" w:rsidP="004121D0">
            <w:pPr>
              <w:rPr>
                <w:rFonts w:eastAsia="Arial" w:cs="Arial"/>
                <w:sz w:val="14"/>
                <w:szCs w:val="14"/>
              </w:rPr>
            </w:pPr>
            <w:r w:rsidRPr="004121D0">
              <w:rPr>
                <w:rFonts w:eastAsia="Arial" w:cs="Arial"/>
                <w:sz w:val="14"/>
                <w:szCs w:val="14"/>
              </w:rPr>
              <w:t> </w:t>
            </w:r>
          </w:p>
        </w:tc>
      </w:tr>
      <w:tr w:rsidR="004121D0" w:rsidRPr="004121D0" w14:paraId="4130DED0" w14:textId="77777777" w:rsidTr="00A257C9">
        <w:trPr>
          <w:trHeight w:val="255"/>
        </w:trPr>
        <w:tc>
          <w:tcPr>
            <w:tcW w:w="920" w:type="dxa"/>
            <w:vMerge/>
            <w:hideMark/>
          </w:tcPr>
          <w:p w14:paraId="24C17252" w14:textId="77777777" w:rsidR="004121D0" w:rsidRPr="004121D0" w:rsidRDefault="004121D0" w:rsidP="004121D0">
            <w:pPr>
              <w:rPr>
                <w:rFonts w:eastAsia="Arial" w:cs="Arial"/>
                <w:sz w:val="14"/>
                <w:szCs w:val="14"/>
              </w:rPr>
            </w:pPr>
          </w:p>
        </w:tc>
        <w:tc>
          <w:tcPr>
            <w:tcW w:w="3140" w:type="dxa"/>
            <w:vMerge/>
            <w:hideMark/>
          </w:tcPr>
          <w:p w14:paraId="2C4B6B63" w14:textId="77777777" w:rsidR="004121D0" w:rsidRPr="004121D0" w:rsidRDefault="004121D0" w:rsidP="004121D0">
            <w:pPr>
              <w:rPr>
                <w:rFonts w:eastAsia="Arial" w:cs="Arial"/>
                <w:sz w:val="14"/>
                <w:szCs w:val="14"/>
              </w:rPr>
            </w:pPr>
          </w:p>
        </w:tc>
        <w:tc>
          <w:tcPr>
            <w:tcW w:w="1058" w:type="dxa"/>
            <w:hideMark/>
          </w:tcPr>
          <w:p w14:paraId="64638643" w14:textId="77777777" w:rsidR="004121D0" w:rsidRPr="004121D0" w:rsidRDefault="004121D0" w:rsidP="004121D0">
            <w:pPr>
              <w:rPr>
                <w:rFonts w:eastAsia="Arial" w:cs="Arial"/>
                <w:sz w:val="14"/>
                <w:szCs w:val="14"/>
              </w:rPr>
            </w:pPr>
            <w:r w:rsidRPr="004121D0">
              <w:rPr>
                <w:rFonts w:eastAsia="Arial" w:cs="Arial"/>
                <w:sz w:val="14"/>
                <w:szCs w:val="14"/>
              </w:rPr>
              <w:t>ET01.04</w:t>
            </w:r>
          </w:p>
        </w:tc>
        <w:tc>
          <w:tcPr>
            <w:tcW w:w="1140" w:type="dxa"/>
            <w:hideMark/>
          </w:tcPr>
          <w:p w14:paraId="59229540" w14:textId="77777777" w:rsidR="004121D0" w:rsidRPr="004121D0" w:rsidRDefault="004121D0" w:rsidP="004121D0">
            <w:pPr>
              <w:rPr>
                <w:rFonts w:eastAsia="Arial" w:cs="Arial"/>
                <w:sz w:val="14"/>
                <w:szCs w:val="14"/>
              </w:rPr>
            </w:pPr>
            <w:r w:rsidRPr="004121D0">
              <w:rPr>
                <w:rFonts w:eastAsia="Arial" w:cs="Arial"/>
                <w:sz w:val="14"/>
                <w:szCs w:val="14"/>
              </w:rPr>
              <w:t>9-640.06</w:t>
            </w:r>
          </w:p>
        </w:tc>
        <w:tc>
          <w:tcPr>
            <w:tcW w:w="4980" w:type="dxa"/>
            <w:hideMark/>
          </w:tcPr>
          <w:p w14:paraId="1EC49B15" w14:textId="77777777" w:rsidR="004121D0" w:rsidRPr="004121D0" w:rsidRDefault="004121D0" w:rsidP="004121D0">
            <w:pPr>
              <w:rPr>
                <w:rFonts w:eastAsia="Arial" w:cs="Arial"/>
                <w:sz w:val="14"/>
                <w:szCs w:val="14"/>
              </w:rPr>
            </w:pPr>
            <w:r w:rsidRPr="004121D0">
              <w:rPr>
                <w:rFonts w:eastAsia="Arial" w:cs="Arial"/>
                <w:sz w:val="14"/>
                <w:szCs w:val="14"/>
              </w:rPr>
              <w:t>Mehr als 6 bis zu 12 Stunden pro Tag</w:t>
            </w:r>
          </w:p>
        </w:tc>
        <w:tc>
          <w:tcPr>
            <w:tcW w:w="1242" w:type="dxa"/>
            <w:noWrap/>
            <w:hideMark/>
          </w:tcPr>
          <w:p w14:paraId="777E3E81" w14:textId="17435297" w:rsidR="004121D0" w:rsidRPr="004121D0" w:rsidRDefault="00C80B77" w:rsidP="004121D0">
            <w:pPr>
              <w:jc w:val="center"/>
              <w:rPr>
                <w:rFonts w:eastAsia="Arial" w:cs="Arial"/>
                <w:sz w:val="14"/>
                <w:szCs w:val="14"/>
              </w:rPr>
            </w:pPr>
            <w:r>
              <w:rPr>
                <w:rFonts w:eastAsia="Arial" w:cs="Arial"/>
                <w:sz w:val="14"/>
                <w:szCs w:val="14"/>
              </w:rPr>
              <w:t>1,1894</w:t>
            </w:r>
          </w:p>
        </w:tc>
      </w:tr>
      <w:tr w:rsidR="004121D0" w:rsidRPr="004121D0" w14:paraId="2C30EB1D" w14:textId="77777777" w:rsidTr="00A257C9">
        <w:trPr>
          <w:trHeight w:val="255"/>
        </w:trPr>
        <w:tc>
          <w:tcPr>
            <w:tcW w:w="920" w:type="dxa"/>
            <w:vMerge/>
            <w:hideMark/>
          </w:tcPr>
          <w:p w14:paraId="0AE0A676" w14:textId="77777777" w:rsidR="004121D0" w:rsidRPr="004121D0" w:rsidRDefault="004121D0" w:rsidP="004121D0">
            <w:pPr>
              <w:rPr>
                <w:rFonts w:eastAsia="Arial" w:cs="Arial"/>
                <w:sz w:val="14"/>
                <w:szCs w:val="14"/>
              </w:rPr>
            </w:pPr>
          </w:p>
        </w:tc>
        <w:tc>
          <w:tcPr>
            <w:tcW w:w="3140" w:type="dxa"/>
            <w:vMerge/>
            <w:hideMark/>
          </w:tcPr>
          <w:p w14:paraId="675EA8A0" w14:textId="77777777" w:rsidR="004121D0" w:rsidRPr="004121D0" w:rsidRDefault="004121D0" w:rsidP="004121D0">
            <w:pPr>
              <w:rPr>
                <w:rFonts w:eastAsia="Arial" w:cs="Arial"/>
                <w:sz w:val="14"/>
                <w:szCs w:val="14"/>
              </w:rPr>
            </w:pPr>
          </w:p>
        </w:tc>
        <w:tc>
          <w:tcPr>
            <w:tcW w:w="1058" w:type="dxa"/>
            <w:hideMark/>
          </w:tcPr>
          <w:p w14:paraId="3577DEF6" w14:textId="77777777" w:rsidR="004121D0" w:rsidRPr="004121D0" w:rsidRDefault="004121D0" w:rsidP="004121D0">
            <w:pPr>
              <w:rPr>
                <w:rFonts w:eastAsia="Arial" w:cs="Arial"/>
                <w:sz w:val="14"/>
                <w:szCs w:val="14"/>
              </w:rPr>
            </w:pPr>
            <w:r w:rsidRPr="004121D0">
              <w:rPr>
                <w:rFonts w:eastAsia="Arial" w:cs="Arial"/>
                <w:sz w:val="14"/>
                <w:szCs w:val="14"/>
              </w:rPr>
              <w:t>ET01.05</w:t>
            </w:r>
          </w:p>
        </w:tc>
        <w:tc>
          <w:tcPr>
            <w:tcW w:w="1140" w:type="dxa"/>
            <w:hideMark/>
          </w:tcPr>
          <w:p w14:paraId="52B15F3A" w14:textId="77777777" w:rsidR="004121D0" w:rsidRPr="004121D0" w:rsidRDefault="004121D0" w:rsidP="004121D0">
            <w:pPr>
              <w:rPr>
                <w:rFonts w:eastAsia="Arial" w:cs="Arial"/>
                <w:sz w:val="14"/>
                <w:szCs w:val="14"/>
              </w:rPr>
            </w:pPr>
            <w:r w:rsidRPr="004121D0">
              <w:rPr>
                <w:rFonts w:eastAsia="Arial" w:cs="Arial"/>
                <w:sz w:val="14"/>
                <w:szCs w:val="14"/>
              </w:rPr>
              <w:t>9-640.07</w:t>
            </w:r>
          </w:p>
        </w:tc>
        <w:tc>
          <w:tcPr>
            <w:tcW w:w="4980" w:type="dxa"/>
            <w:hideMark/>
          </w:tcPr>
          <w:p w14:paraId="799F286E" w14:textId="77777777" w:rsidR="004121D0" w:rsidRPr="004121D0" w:rsidRDefault="004121D0" w:rsidP="004121D0">
            <w:pPr>
              <w:rPr>
                <w:rFonts w:eastAsia="Arial" w:cs="Arial"/>
                <w:sz w:val="14"/>
                <w:szCs w:val="14"/>
              </w:rPr>
            </w:pPr>
            <w:r w:rsidRPr="004121D0">
              <w:rPr>
                <w:rFonts w:eastAsia="Arial" w:cs="Arial"/>
                <w:sz w:val="14"/>
                <w:szCs w:val="14"/>
              </w:rPr>
              <w:t>Mehr als 12 bis zu 18 Stunden pro Tag</w:t>
            </w:r>
          </w:p>
        </w:tc>
        <w:tc>
          <w:tcPr>
            <w:tcW w:w="1242" w:type="dxa"/>
            <w:noWrap/>
            <w:hideMark/>
          </w:tcPr>
          <w:p w14:paraId="69DF0788" w14:textId="70529095" w:rsidR="004121D0" w:rsidRPr="004121D0" w:rsidRDefault="00C80B77" w:rsidP="004121D0">
            <w:pPr>
              <w:jc w:val="center"/>
              <w:rPr>
                <w:rFonts w:eastAsia="Arial" w:cs="Arial"/>
                <w:sz w:val="14"/>
                <w:szCs w:val="14"/>
              </w:rPr>
            </w:pPr>
            <w:r>
              <w:rPr>
                <w:rFonts w:eastAsia="Arial" w:cs="Arial"/>
                <w:sz w:val="14"/>
                <w:szCs w:val="14"/>
              </w:rPr>
              <w:t>2,0314</w:t>
            </w:r>
          </w:p>
        </w:tc>
      </w:tr>
      <w:tr w:rsidR="004121D0" w:rsidRPr="004121D0" w14:paraId="065F0F1D" w14:textId="77777777" w:rsidTr="00A257C9">
        <w:trPr>
          <w:trHeight w:val="255"/>
        </w:trPr>
        <w:tc>
          <w:tcPr>
            <w:tcW w:w="920" w:type="dxa"/>
            <w:vMerge/>
            <w:hideMark/>
          </w:tcPr>
          <w:p w14:paraId="6BB870EE" w14:textId="77777777" w:rsidR="004121D0" w:rsidRPr="004121D0" w:rsidRDefault="004121D0" w:rsidP="004121D0">
            <w:pPr>
              <w:rPr>
                <w:rFonts w:eastAsia="Arial" w:cs="Arial"/>
                <w:sz w:val="14"/>
                <w:szCs w:val="14"/>
              </w:rPr>
            </w:pPr>
          </w:p>
        </w:tc>
        <w:tc>
          <w:tcPr>
            <w:tcW w:w="3140" w:type="dxa"/>
            <w:vMerge/>
            <w:hideMark/>
          </w:tcPr>
          <w:p w14:paraId="1DD1398C" w14:textId="77777777" w:rsidR="004121D0" w:rsidRPr="004121D0" w:rsidRDefault="004121D0" w:rsidP="004121D0">
            <w:pPr>
              <w:rPr>
                <w:rFonts w:eastAsia="Arial" w:cs="Arial"/>
                <w:sz w:val="14"/>
                <w:szCs w:val="14"/>
              </w:rPr>
            </w:pPr>
          </w:p>
        </w:tc>
        <w:tc>
          <w:tcPr>
            <w:tcW w:w="1058" w:type="dxa"/>
            <w:hideMark/>
          </w:tcPr>
          <w:p w14:paraId="7E9976AA" w14:textId="77777777" w:rsidR="004121D0" w:rsidRPr="004121D0" w:rsidRDefault="004121D0" w:rsidP="004121D0">
            <w:pPr>
              <w:rPr>
                <w:rFonts w:eastAsia="Arial" w:cs="Arial"/>
                <w:sz w:val="14"/>
                <w:szCs w:val="14"/>
              </w:rPr>
            </w:pPr>
            <w:r w:rsidRPr="004121D0">
              <w:rPr>
                <w:rFonts w:eastAsia="Arial" w:cs="Arial"/>
                <w:sz w:val="14"/>
                <w:szCs w:val="14"/>
              </w:rPr>
              <w:t>ET01.06</w:t>
            </w:r>
          </w:p>
        </w:tc>
        <w:tc>
          <w:tcPr>
            <w:tcW w:w="1140" w:type="dxa"/>
            <w:hideMark/>
          </w:tcPr>
          <w:p w14:paraId="606A4A8C" w14:textId="77777777" w:rsidR="004121D0" w:rsidRPr="004121D0" w:rsidRDefault="004121D0" w:rsidP="004121D0">
            <w:pPr>
              <w:rPr>
                <w:rFonts w:eastAsia="Arial" w:cs="Arial"/>
                <w:sz w:val="14"/>
                <w:szCs w:val="14"/>
              </w:rPr>
            </w:pPr>
            <w:r w:rsidRPr="004121D0">
              <w:rPr>
                <w:rFonts w:eastAsia="Arial" w:cs="Arial"/>
                <w:sz w:val="14"/>
                <w:szCs w:val="14"/>
              </w:rPr>
              <w:t>9-640.08</w:t>
            </w:r>
          </w:p>
        </w:tc>
        <w:tc>
          <w:tcPr>
            <w:tcW w:w="4980" w:type="dxa"/>
            <w:hideMark/>
          </w:tcPr>
          <w:p w14:paraId="68BAC130" w14:textId="77777777" w:rsidR="004121D0" w:rsidRPr="004121D0" w:rsidRDefault="004121D0" w:rsidP="004121D0">
            <w:pPr>
              <w:rPr>
                <w:rFonts w:eastAsia="Arial" w:cs="Arial"/>
                <w:sz w:val="14"/>
                <w:szCs w:val="14"/>
              </w:rPr>
            </w:pPr>
            <w:r w:rsidRPr="004121D0">
              <w:rPr>
                <w:rFonts w:eastAsia="Arial" w:cs="Arial"/>
                <w:sz w:val="14"/>
                <w:szCs w:val="14"/>
              </w:rPr>
              <w:t>Mehr als 18 Stunden pro Tag</w:t>
            </w:r>
          </w:p>
        </w:tc>
        <w:tc>
          <w:tcPr>
            <w:tcW w:w="1242" w:type="dxa"/>
            <w:noWrap/>
            <w:hideMark/>
          </w:tcPr>
          <w:p w14:paraId="5F923098" w14:textId="12D8A710" w:rsidR="004121D0" w:rsidRPr="004121D0" w:rsidRDefault="00C80B77" w:rsidP="004121D0">
            <w:pPr>
              <w:jc w:val="center"/>
              <w:rPr>
                <w:rFonts w:eastAsia="Arial" w:cs="Arial"/>
                <w:sz w:val="14"/>
                <w:szCs w:val="14"/>
              </w:rPr>
            </w:pPr>
            <w:r>
              <w:rPr>
                <w:rFonts w:eastAsia="Arial" w:cs="Arial"/>
                <w:sz w:val="14"/>
                <w:szCs w:val="14"/>
              </w:rPr>
              <w:t>2,9088</w:t>
            </w:r>
          </w:p>
        </w:tc>
      </w:tr>
    </w:tbl>
    <w:p w14:paraId="28F9239F" w14:textId="77777777" w:rsidR="004121D0" w:rsidRPr="004121D0" w:rsidRDefault="004121D0" w:rsidP="004121D0">
      <w:pPr>
        <w:spacing w:after="0" w:line="240" w:lineRule="auto"/>
        <w:rPr>
          <w:rFonts w:eastAsia="Arial" w:cs="Arial"/>
          <w:color w:val="auto"/>
          <w:sz w:val="14"/>
          <w:szCs w:val="14"/>
          <w:lang w:eastAsia="de-DE"/>
        </w:rPr>
      </w:pPr>
    </w:p>
    <w:p w14:paraId="78D86559" w14:textId="77777777" w:rsidR="004121D0" w:rsidRPr="004121D0" w:rsidRDefault="004121D0" w:rsidP="004121D0">
      <w:pPr>
        <w:spacing w:after="0" w:line="240" w:lineRule="auto"/>
        <w:rPr>
          <w:rFonts w:eastAsia="Arial" w:cs="Arial"/>
          <w:color w:val="auto"/>
          <w:sz w:val="14"/>
          <w:szCs w:val="14"/>
          <w:lang w:eastAsia="de-DE"/>
        </w:rPr>
      </w:pPr>
      <w:r w:rsidRPr="004121D0">
        <w:rPr>
          <w:rFonts w:eastAsia="Arial" w:cs="Arial"/>
          <w:color w:val="auto"/>
          <w:sz w:val="14"/>
          <w:szCs w:val="14"/>
          <w:lang w:eastAsia="de-DE"/>
        </w:rPr>
        <w:t xml:space="preserve">Abrechenbar ist jeder Tag mit Gültigkeit eines OPS-Kodes gem. Spalte 4, an dem der Patient stationär behandelt wird. Vollständige Tage der Abwesenheit während   </w:t>
      </w:r>
    </w:p>
    <w:p w14:paraId="20B4F853" w14:textId="77777777" w:rsidR="004121D0" w:rsidRPr="004121D0" w:rsidRDefault="004121D0" w:rsidP="004121D0">
      <w:pPr>
        <w:spacing w:after="0" w:line="240" w:lineRule="auto"/>
        <w:rPr>
          <w:rFonts w:eastAsia="Arial" w:cs="Arial"/>
          <w:color w:val="auto"/>
          <w:sz w:val="14"/>
          <w:szCs w:val="14"/>
          <w:lang w:eastAsia="de-DE"/>
        </w:rPr>
      </w:pPr>
      <w:r w:rsidRPr="004121D0">
        <w:rPr>
          <w:rFonts w:eastAsia="Arial" w:cs="Arial"/>
          <w:color w:val="auto"/>
          <w:sz w:val="14"/>
          <w:szCs w:val="14"/>
          <w:lang w:eastAsia="de-DE"/>
        </w:rPr>
        <w:t>der Gültigkeitsdauer eines OPS-Kodes gem. Spalte 4 sind nicht abrechenbar.</w:t>
      </w:r>
    </w:p>
    <w:p w14:paraId="59A75EB1" w14:textId="77777777" w:rsidR="004121D0" w:rsidRPr="004121D0" w:rsidRDefault="004121D0" w:rsidP="004121D0">
      <w:pPr>
        <w:spacing w:after="0" w:line="240" w:lineRule="auto"/>
        <w:rPr>
          <w:rFonts w:eastAsia="Arial" w:cs="Arial"/>
          <w:color w:val="auto"/>
          <w:sz w:val="4"/>
          <w:szCs w:val="4"/>
          <w:lang w:eastAsia="de-DE"/>
        </w:rPr>
      </w:pPr>
    </w:p>
    <w:p w14:paraId="04E8A4A4" w14:textId="348CE5EA"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lastRenderedPageBreak/>
        <w:t>Die Entgelthöhe je Tag wird ermittelt, indem die im Entgeltkatalog ausgewiesene maßgebliche Bewertungsrela</w:t>
      </w:r>
      <w:r w:rsidR="00860EEB">
        <w:rPr>
          <w:rFonts w:eastAsia="Times New Roman" w:cs="Arial"/>
          <w:color w:val="auto"/>
          <w:sz w:val="14"/>
          <w:szCs w:val="14"/>
          <w:lang w:eastAsia="de-DE"/>
        </w:rPr>
        <w:t>tion nach Anlage 5 der PEPPV 2025</w:t>
      </w:r>
      <w:r w:rsidRPr="004121D0">
        <w:rPr>
          <w:rFonts w:eastAsia="Times New Roman" w:cs="Arial"/>
          <w:color w:val="auto"/>
          <w:sz w:val="14"/>
          <w:szCs w:val="14"/>
          <w:lang w:eastAsia="de-DE"/>
        </w:rPr>
        <w:t xml:space="preserve"> jeweils mit dem Basisentgeltwert multipliziert und das Ergebnis kaufmännisch auf zwei Nachkommastellen gerundet wird. Für die Rechnungsstellung wird die Anzahl der Berechnungstage je Entgelt addiert und mit dem ermittelten Entgeltbetrag multipliziert.</w:t>
      </w:r>
    </w:p>
    <w:p w14:paraId="6C00D01D" w14:textId="77777777" w:rsidR="004121D0" w:rsidRPr="004121D0" w:rsidRDefault="004121D0" w:rsidP="004121D0">
      <w:pPr>
        <w:spacing w:after="0" w:line="240" w:lineRule="auto"/>
        <w:jc w:val="both"/>
        <w:rPr>
          <w:rFonts w:eastAsia="Times New Roman" w:cs="Arial"/>
          <w:color w:val="auto"/>
          <w:sz w:val="14"/>
          <w:szCs w:val="14"/>
          <w:lang w:eastAsia="de-DE"/>
        </w:rPr>
      </w:pPr>
    </w:p>
    <w:p w14:paraId="763CCCA3" w14:textId="6DF21CC1"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3. Zusatzentgelte nach den Zusatzentg</w:t>
      </w:r>
      <w:r w:rsidR="00860EEB">
        <w:rPr>
          <w:rFonts w:eastAsia="Times New Roman" w:cs="Arial"/>
          <w:b/>
          <w:color w:val="auto"/>
          <w:sz w:val="14"/>
          <w:szCs w:val="14"/>
          <w:highlight w:val="lightGray"/>
          <w:u w:val="single"/>
          <w:lang w:eastAsia="de-DE"/>
        </w:rPr>
        <w:t>eltkatalogen gem. § 5 PEPPV 2025</w:t>
      </w:r>
    </w:p>
    <w:p w14:paraId="15837CD5" w14:textId="79673D90" w:rsidR="004121D0" w:rsidRPr="004121D0" w:rsidRDefault="004121D0" w:rsidP="004121D0">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Gemäß § 17d Abs. 2 KHG können, soweit dies zur Ergänzung der Entgelte in eng begrenzten Ausnahmefällen erforderlich ist, die Vertragsparteien auf Bundesebene Zusatzentgelte und deren Höh</w:t>
      </w:r>
      <w:r w:rsidR="00860EEB">
        <w:rPr>
          <w:rFonts w:eastAsia="Times New Roman" w:cs="Arial"/>
          <w:color w:val="000000"/>
          <w:sz w:val="14"/>
          <w:szCs w:val="14"/>
          <w:lang w:eastAsia="de-DE"/>
        </w:rPr>
        <w:t>e vereinbaren. Für das Jahr 2025</w:t>
      </w:r>
      <w:r w:rsidRPr="004121D0">
        <w:rPr>
          <w:rFonts w:eastAsia="Times New Roman" w:cs="Arial"/>
          <w:color w:val="000000"/>
          <w:sz w:val="14"/>
          <w:szCs w:val="14"/>
          <w:lang w:eastAsia="de-DE"/>
        </w:rPr>
        <w:t xml:space="preserve"> werden die </w:t>
      </w:r>
      <w:r w:rsidRPr="004121D0">
        <w:rPr>
          <w:rFonts w:eastAsia="Times New Roman" w:cs="Arial"/>
          <w:b/>
          <w:color w:val="000000"/>
          <w:sz w:val="14"/>
          <w:szCs w:val="14"/>
          <w:lang w:eastAsia="de-DE"/>
        </w:rPr>
        <w:t>bundeseinheitlichen Zusatzentgelte</w:t>
      </w:r>
      <w:r w:rsidRPr="004121D0">
        <w:rPr>
          <w:rFonts w:eastAsia="Times New Roman" w:cs="Arial"/>
          <w:color w:val="000000"/>
          <w:sz w:val="14"/>
          <w:szCs w:val="14"/>
          <w:lang w:eastAsia="de-DE"/>
        </w:rPr>
        <w:t xml:space="preserve"> nach § 5 Abs. 1 PEPPV 202</w:t>
      </w:r>
      <w:r w:rsidR="00860EEB">
        <w:rPr>
          <w:rFonts w:eastAsia="Times New Roman" w:cs="Arial"/>
          <w:color w:val="000000"/>
          <w:sz w:val="14"/>
          <w:szCs w:val="14"/>
          <w:lang w:eastAsia="de-DE"/>
        </w:rPr>
        <w:t>5</w:t>
      </w:r>
      <w:r w:rsidRPr="004121D0">
        <w:rPr>
          <w:rFonts w:eastAsia="Times New Roman" w:cs="Arial"/>
          <w:color w:val="000000"/>
          <w:sz w:val="14"/>
          <w:szCs w:val="14"/>
          <w:lang w:eastAsia="de-DE"/>
        </w:rPr>
        <w:t xml:space="preserve"> in Verbindung mit der </w:t>
      </w:r>
      <w:r w:rsidRPr="004121D0">
        <w:rPr>
          <w:rFonts w:eastAsia="Times New Roman" w:cs="Arial"/>
          <w:b/>
          <w:color w:val="000000"/>
          <w:sz w:val="14"/>
          <w:szCs w:val="14"/>
          <w:lang w:eastAsia="de-DE"/>
        </w:rPr>
        <w:t>Anlage 3</w:t>
      </w:r>
      <w:r w:rsidR="00860EEB">
        <w:rPr>
          <w:rFonts w:eastAsia="Times New Roman" w:cs="Arial"/>
          <w:color w:val="000000"/>
          <w:sz w:val="14"/>
          <w:szCs w:val="14"/>
          <w:lang w:eastAsia="de-DE"/>
        </w:rPr>
        <w:t xml:space="preserve"> der PEPPV 2025</w:t>
      </w:r>
      <w:r w:rsidRPr="004121D0">
        <w:rPr>
          <w:rFonts w:eastAsia="Times New Roman" w:cs="Arial"/>
          <w:color w:val="000000"/>
          <w:sz w:val="14"/>
          <w:szCs w:val="14"/>
          <w:lang w:eastAsia="de-DE"/>
        </w:rPr>
        <w:t xml:space="preserve"> vorgegeben. </w:t>
      </w:r>
      <w:r w:rsidRPr="004121D0">
        <w:rPr>
          <w:rFonts w:eastAsia="Times New Roman" w:cs="Arial"/>
          <w:noProof/>
          <w:color w:val="000000"/>
          <w:sz w:val="14"/>
          <w:szCs w:val="14"/>
          <w:lang w:eastAsia="de-DE"/>
        </w:rPr>
        <w:t>Daneben k</w:t>
      </w:r>
      <w:r w:rsidR="00860EEB">
        <w:rPr>
          <w:rFonts w:eastAsia="Times New Roman" w:cs="Arial"/>
          <w:noProof/>
          <w:color w:val="000000"/>
          <w:sz w:val="14"/>
          <w:szCs w:val="14"/>
          <w:lang w:eastAsia="de-DE"/>
        </w:rPr>
        <w:t>önnen nach § 5 Abs. 2 PEPPV 2025</w:t>
      </w:r>
      <w:r w:rsidRPr="004121D0">
        <w:rPr>
          <w:rFonts w:eastAsia="Times New Roman" w:cs="Arial"/>
          <w:noProof/>
          <w:color w:val="000000"/>
          <w:sz w:val="14"/>
          <w:szCs w:val="14"/>
          <w:lang w:eastAsia="de-DE"/>
        </w:rPr>
        <w:t xml:space="preserve"> f</w:t>
      </w:r>
      <w:r w:rsidRPr="004121D0">
        <w:rPr>
          <w:rFonts w:eastAsia="Times New Roman" w:cs="Arial"/>
          <w:color w:val="000000"/>
          <w:sz w:val="14"/>
          <w:szCs w:val="14"/>
          <w:lang w:eastAsia="de-DE"/>
        </w:rPr>
        <w:t xml:space="preserve">ür die in </w:t>
      </w:r>
      <w:r w:rsidRPr="004121D0">
        <w:rPr>
          <w:rFonts w:eastAsia="Times New Roman" w:cs="Arial"/>
          <w:b/>
          <w:color w:val="000000"/>
          <w:sz w:val="14"/>
          <w:szCs w:val="14"/>
          <w:lang w:eastAsia="de-DE"/>
        </w:rPr>
        <w:t>Anlage 4</w:t>
      </w:r>
      <w:r w:rsidRPr="004121D0">
        <w:rPr>
          <w:rFonts w:eastAsia="Times New Roman" w:cs="Arial"/>
          <w:color w:val="000000"/>
          <w:sz w:val="14"/>
          <w:szCs w:val="14"/>
          <w:lang w:eastAsia="de-DE"/>
        </w:rPr>
        <w:t xml:space="preserve"> benannten, mit dem bundeseinheitlichen Zusatzentgelte-Katalog nicht bewerteten Leistungen </w:t>
      </w:r>
      <w:r w:rsidRPr="004121D0">
        <w:rPr>
          <w:rFonts w:eastAsia="Times New Roman" w:cs="Arial"/>
          <w:b/>
          <w:color w:val="000000"/>
          <w:sz w:val="14"/>
          <w:szCs w:val="14"/>
          <w:lang w:eastAsia="de-DE"/>
        </w:rPr>
        <w:t>krankenhausindividuelle Zusatzentgelte</w:t>
      </w:r>
      <w:r w:rsidRPr="004121D0">
        <w:rPr>
          <w:rFonts w:eastAsia="Times New Roman" w:cs="Arial"/>
          <w:color w:val="000000"/>
          <w:sz w:val="14"/>
          <w:szCs w:val="14"/>
          <w:lang w:eastAsia="de-DE"/>
        </w:rPr>
        <w:t xml:space="preserve"> nach § 6 Abs. 1 BPflV vereinbart werden.</w:t>
      </w:r>
    </w:p>
    <w:p w14:paraId="7058B558" w14:textId="353EF8A9" w:rsidR="004121D0" w:rsidRPr="004121D0" w:rsidRDefault="004121D0" w:rsidP="004121D0">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Zusatzentgelte können zusätzlich zu den mit Bewertungsrelationen bewerteten Entgelten nach den Anl</w:t>
      </w:r>
      <w:r w:rsidR="00860EEB">
        <w:rPr>
          <w:rFonts w:eastAsia="Times New Roman" w:cs="Arial"/>
          <w:color w:val="000000"/>
          <w:sz w:val="14"/>
          <w:szCs w:val="14"/>
          <w:lang w:eastAsia="de-DE"/>
        </w:rPr>
        <w:t>agen 1a, 2a und 5 der PEPPV 2025</w:t>
      </w:r>
      <w:r w:rsidRPr="004121D0">
        <w:rPr>
          <w:rFonts w:eastAsia="Times New Roman" w:cs="Arial"/>
          <w:color w:val="000000"/>
          <w:sz w:val="14"/>
          <w:szCs w:val="14"/>
          <w:lang w:eastAsia="de-DE"/>
        </w:rPr>
        <w:t xml:space="preserve"> oder zu den Entgelten nach § 6 Absatz 1 BPflV abgerechnet werden. </w:t>
      </w:r>
    </w:p>
    <w:p w14:paraId="1631D321" w14:textId="537CE0CF"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Können für die Leistungen nach </w:t>
      </w:r>
      <w:r w:rsidRPr="004121D0">
        <w:rPr>
          <w:rFonts w:eastAsia="Times New Roman" w:cs="Arial"/>
          <w:b/>
          <w:color w:val="auto"/>
          <w:sz w:val="14"/>
          <w:szCs w:val="14"/>
          <w:lang w:eastAsia="de-DE"/>
        </w:rPr>
        <w:t>Anlage 4</w:t>
      </w:r>
      <w:r w:rsidRPr="004121D0">
        <w:rPr>
          <w:rFonts w:eastAsia="Times New Roman" w:cs="Arial"/>
          <w:color w:val="auto"/>
          <w:sz w:val="14"/>
          <w:szCs w:val="14"/>
          <w:lang w:eastAsia="de-DE"/>
        </w:rPr>
        <w:t xml:space="preserve"> auf Grund einer fehlenden Vereinbarung fü</w:t>
      </w:r>
      <w:r w:rsidR="00860EEB">
        <w:rPr>
          <w:rFonts w:eastAsia="Times New Roman" w:cs="Arial"/>
          <w:color w:val="auto"/>
          <w:sz w:val="14"/>
          <w:szCs w:val="14"/>
          <w:lang w:eastAsia="de-DE"/>
        </w:rPr>
        <w:t>r den Vereinbarungszeitraum 2025</w:t>
      </w:r>
      <w:r w:rsidRPr="004121D0">
        <w:rPr>
          <w:rFonts w:eastAsia="Times New Roman" w:cs="Arial"/>
          <w:color w:val="auto"/>
          <w:sz w:val="14"/>
          <w:szCs w:val="14"/>
          <w:lang w:eastAsia="de-DE"/>
        </w:rPr>
        <w:t xml:space="preserve"> noch keine krankenhausindividuellen Zusatzentgelte abgerechnet werden, sind für jedes Zusatzentgelt </w:t>
      </w:r>
      <w:r w:rsidRPr="004121D0">
        <w:rPr>
          <w:rFonts w:eastAsia="Times New Roman" w:cs="Arial"/>
          <w:b/>
          <w:color w:val="auto"/>
          <w:sz w:val="14"/>
          <w:szCs w:val="14"/>
          <w:lang w:eastAsia="de-DE"/>
        </w:rPr>
        <w:t>600 Euro</w:t>
      </w:r>
      <w:r w:rsidRPr="004121D0">
        <w:rPr>
          <w:rFonts w:eastAsia="Times New Roman" w:cs="Arial"/>
          <w:color w:val="auto"/>
          <w:sz w:val="14"/>
          <w:szCs w:val="14"/>
          <w:lang w:eastAsia="de-DE"/>
        </w:rPr>
        <w:t xml:space="preserve"> abzurechnen. </w:t>
      </w:r>
    </w:p>
    <w:p w14:paraId="107D4AAB" w14:textId="304898C9"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Wurden für Leistungen nach </w:t>
      </w:r>
      <w:r w:rsidRPr="004121D0">
        <w:rPr>
          <w:rFonts w:eastAsia="Times New Roman" w:cs="Arial"/>
          <w:b/>
          <w:color w:val="auto"/>
          <w:sz w:val="14"/>
          <w:szCs w:val="14"/>
          <w:lang w:eastAsia="de-DE"/>
        </w:rPr>
        <w:t>Anlage 4</w:t>
      </w:r>
      <w:r w:rsidR="00860EEB">
        <w:rPr>
          <w:rFonts w:eastAsia="Times New Roman" w:cs="Arial"/>
          <w:color w:val="auto"/>
          <w:sz w:val="14"/>
          <w:szCs w:val="14"/>
          <w:lang w:eastAsia="de-DE"/>
        </w:rPr>
        <w:t xml:space="preserve"> im Jahr 2025</w:t>
      </w:r>
      <w:r w:rsidRPr="004121D0">
        <w:rPr>
          <w:rFonts w:eastAsia="Times New Roman" w:cs="Arial"/>
          <w:color w:val="auto"/>
          <w:sz w:val="14"/>
          <w:szCs w:val="14"/>
          <w:lang w:eastAsia="de-DE"/>
        </w:rPr>
        <w:t xml:space="preserve"> keine Zusatzentgelte vereinbart, sind im Einzelfall auf der Grundlage von § 8 Absatz 1 Satz 3 der Bundespflegesatzverordnung für jedes Zusatzentgelt </w:t>
      </w:r>
      <w:r w:rsidRPr="004121D0">
        <w:rPr>
          <w:rFonts w:eastAsia="Times New Roman" w:cs="Arial"/>
          <w:b/>
          <w:color w:val="auto"/>
          <w:sz w:val="14"/>
          <w:szCs w:val="14"/>
          <w:lang w:eastAsia="de-DE"/>
        </w:rPr>
        <w:t>600 Euro</w:t>
      </w:r>
      <w:r w:rsidRPr="004121D0">
        <w:rPr>
          <w:rFonts w:eastAsia="Times New Roman" w:cs="Arial"/>
          <w:color w:val="auto"/>
          <w:sz w:val="14"/>
          <w:szCs w:val="14"/>
          <w:lang w:eastAsia="de-DE"/>
        </w:rPr>
        <w:t xml:space="preserve"> abzurechnen.</w:t>
      </w:r>
      <w:bookmarkStart w:id="0" w:name="_GoBack"/>
      <w:bookmarkEnd w:id="0"/>
    </w:p>
    <w:p w14:paraId="31A64602" w14:textId="6DCA1F29" w:rsidR="004121D0" w:rsidRPr="004121D0" w:rsidRDefault="004121D0" w:rsidP="004121D0">
      <w:pPr>
        <w:spacing w:after="0" w:line="240" w:lineRule="auto"/>
        <w:jc w:val="both"/>
        <w:rPr>
          <w:rFonts w:eastAsia="Times New Roman" w:cs="Arial"/>
          <w:noProof/>
          <w:color w:val="FF0000"/>
          <w:sz w:val="14"/>
          <w:szCs w:val="14"/>
          <w:lang w:eastAsia="de-DE"/>
        </w:rPr>
      </w:pPr>
      <w:r w:rsidRPr="004121D0">
        <w:rPr>
          <w:rFonts w:eastAsia="Times New Roman" w:cs="Arial"/>
          <w:noProof/>
          <w:color w:val="auto"/>
          <w:sz w:val="14"/>
          <w:szCs w:val="14"/>
          <w:lang w:eastAsia="de-DE"/>
        </w:rPr>
        <w:t>Für Bezirksklinikum Obermain wurden folgende Zusatzentgelte nach Anlage 4 vereinbart:</w:t>
      </w:r>
      <w:r w:rsidRPr="004121D0">
        <w:rPr>
          <w:rFonts w:eastAsia="Times New Roman" w:cs="Arial"/>
          <w:noProof/>
          <w:color w:val="auto"/>
          <w:sz w:val="14"/>
          <w:szCs w:val="14"/>
          <w:lang w:eastAsia="de-DE"/>
        </w:rPr>
        <w:tab/>
        <w:t xml:space="preserve">                       </w:t>
      </w:r>
      <w:r w:rsidRPr="004121D0">
        <w:rPr>
          <w:rFonts w:eastAsia="Times New Roman" w:cs="Arial"/>
          <w:noProof/>
          <w:color w:val="auto"/>
          <w:sz w:val="14"/>
          <w:szCs w:val="14"/>
          <w:lang w:eastAsia="de-DE"/>
        </w:rPr>
        <w:tab/>
        <w:t xml:space="preserve">                                                        ab: </w:t>
      </w:r>
      <w:r w:rsidR="00FF6939">
        <w:rPr>
          <w:rFonts w:eastAsia="Times New Roman" w:cs="Arial"/>
          <w:noProof/>
          <w:color w:val="FF0000"/>
          <w:sz w:val="14"/>
          <w:szCs w:val="14"/>
          <w:lang w:eastAsia="de-DE"/>
        </w:rPr>
        <w:t>01.10.2025</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150"/>
        <w:gridCol w:w="3393"/>
      </w:tblGrid>
      <w:tr w:rsidR="00B84E1E" w:rsidRPr="004121D0" w14:paraId="32A0D059" w14:textId="77777777" w:rsidTr="00A257C9">
        <w:tc>
          <w:tcPr>
            <w:tcW w:w="1543" w:type="dxa"/>
            <w:shd w:val="clear" w:color="auto" w:fill="auto"/>
          </w:tcPr>
          <w:p w14:paraId="20483A8F" w14:textId="4481F86A" w:rsidR="00B84E1E"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ZP2025-06</w:t>
            </w:r>
          </w:p>
        </w:tc>
        <w:tc>
          <w:tcPr>
            <w:tcW w:w="5150" w:type="dxa"/>
            <w:shd w:val="clear" w:color="auto" w:fill="auto"/>
          </w:tcPr>
          <w:p w14:paraId="0DFB3381" w14:textId="4F9D8A34"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Bosetan, oral, je 62,5 mg; OPS 6-002.f*</w:t>
            </w:r>
          </w:p>
        </w:tc>
        <w:tc>
          <w:tcPr>
            <w:tcW w:w="3393" w:type="dxa"/>
            <w:shd w:val="clear" w:color="auto" w:fill="auto"/>
          </w:tcPr>
          <w:p w14:paraId="78F38E23" w14:textId="422D58AD" w:rsidR="00B84E1E" w:rsidRPr="004121D0" w:rsidRDefault="00B84E1E"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10,70 Euro</w:t>
            </w:r>
          </w:p>
        </w:tc>
      </w:tr>
      <w:tr w:rsidR="00B84E1E" w:rsidRPr="004121D0" w14:paraId="1DD37E38" w14:textId="77777777" w:rsidTr="00A257C9">
        <w:tc>
          <w:tcPr>
            <w:tcW w:w="1543" w:type="dxa"/>
            <w:shd w:val="clear" w:color="auto" w:fill="auto"/>
          </w:tcPr>
          <w:p w14:paraId="35D51939" w14:textId="77777777" w:rsidR="00B84E1E" w:rsidRPr="004121D0"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-08</w:t>
            </w:r>
          </w:p>
        </w:tc>
        <w:tc>
          <w:tcPr>
            <w:tcW w:w="5150" w:type="dxa"/>
            <w:shd w:val="clear" w:color="auto" w:fill="auto"/>
          </w:tcPr>
          <w:p w14:paraId="4B3573C7" w14:textId="77777777" w:rsidR="00B84E1E" w:rsidRPr="004121D0" w:rsidRDefault="00B84E1E" w:rsidP="00A257C9">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G.v. Alpha-1-Proteinaseninhibitor human, parenteral, je mg; OPS 8-812.0*</w:t>
            </w:r>
          </w:p>
        </w:tc>
        <w:tc>
          <w:tcPr>
            <w:tcW w:w="3393" w:type="dxa"/>
            <w:shd w:val="clear" w:color="auto" w:fill="auto"/>
          </w:tcPr>
          <w:p w14:paraId="5CA76B7D" w14:textId="77777777" w:rsidR="00B84E1E" w:rsidRPr="004121D0" w:rsidRDefault="00B84E1E" w:rsidP="00A257C9">
            <w:pPr>
              <w:spacing w:after="0" w:line="240" w:lineRule="auto"/>
              <w:jc w:val="right"/>
              <w:rPr>
                <w:rFonts w:eastAsia="Times New Roman" w:cs="Arial"/>
                <w:noProof/>
                <w:color w:val="FF0000"/>
                <w:sz w:val="14"/>
                <w:szCs w:val="14"/>
                <w:lang w:eastAsia="de-DE"/>
              </w:rPr>
            </w:pPr>
            <w:r w:rsidRPr="004121D0">
              <w:rPr>
                <w:rFonts w:eastAsia="Times New Roman" w:cs="Arial"/>
                <w:noProof/>
                <w:color w:val="FF0000"/>
                <w:sz w:val="14"/>
                <w:szCs w:val="14"/>
                <w:lang w:eastAsia="de-DE"/>
              </w:rPr>
              <w:t>0,39 Euro</w:t>
            </w:r>
          </w:p>
        </w:tc>
      </w:tr>
      <w:tr w:rsidR="00B84E1E" w:rsidRPr="004121D0" w14:paraId="6575275F" w14:textId="77777777" w:rsidTr="00A257C9">
        <w:tc>
          <w:tcPr>
            <w:tcW w:w="1543" w:type="dxa"/>
            <w:shd w:val="clear" w:color="auto" w:fill="auto"/>
          </w:tcPr>
          <w:p w14:paraId="1A112C2A" w14:textId="5882878C"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-21</w:t>
            </w:r>
          </w:p>
        </w:tc>
        <w:tc>
          <w:tcPr>
            <w:tcW w:w="5150" w:type="dxa"/>
            <w:shd w:val="clear" w:color="auto" w:fill="auto"/>
          </w:tcPr>
          <w:p w14:paraId="1FD7F604" w14:textId="2296EEFC"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 xml:space="preserve">Gabe von Dasatinib, oral, je </w:t>
            </w:r>
            <w:r w:rsidRPr="004121D0">
              <w:rPr>
                <w:rFonts w:eastAsia="Times New Roman" w:cs="Arial"/>
                <w:noProof/>
                <w:color w:val="FF0000"/>
                <w:sz w:val="14"/>
                <w:szCs w:val="14"/>
                <w:lang w:eastAsia="de-DE"/>
              </w:rPr>
              <w:t>mg; OPS 6-004.3*</w:t>
            </w:r>
          </w:p>
        </w:tc>
        <w:tc>
          <w:tcPr>
            <w:tcW w:w="3393" w:type="dxa"/>
            <w:shd w:val="clear" w:color="auto" w:fill="auto"/>
          </w:tcPr>
          <w:p w14:paraId="3B05B81E" w14:textId="135B0D52" w:rsidR="00B84E1E" w:rsidRPr="004121D0" w:rsidRDefault="00B84E1E"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2,10</w:t>
            </w:r>
            <w:r w:rsidRPr="004121D0">
              <w:rPr>
                <w:rFonts w:eastAsia="Times New Roman" w:cs="Arial"/>
                <w:noProof/>
                <w:color w:val="FF0000"/>
                <w:sz w:val="14"/>
                <w:szCs w:val="14"/>
                <w:lang w:eastAsia="de-DE"/>
              </w:rPr>
              <w:t xml:space="preserve"> Euro</w:t>
            </w:r>
          </w:p>
        </w:tc>
      </w:tr>
      <w:tr w:rsidR="00B84E1E" w:rsidRPr="004121D0" w14:paraId="0D33FAE1" w14:textId="77777777" w:rsidTr="00A257C9">
        <w:tc>
          <w:tcPr>
            <w:tcW w:w="1543" w:type="dxa"/>
            <w:shd w:val="clear" w:color="auto" w:fill="auto"/>
          </w:tcPr>
          <w:p w14:paraId="5A74447F" w14:textId="271AB91D"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-26</w:t>
            </w:r>
          </w:p>
        </w:tc>
        <w:tc>
          <w:tcPr>
            <w:tcW w:w="5150" w:type="dxa"/>
            <w:shd w:val="clear" w:color="auto" w:fill="auto"/>
          </w:tcPr>
          <w:p w14:paraId="3974A5F0" w14:textId="19ADE9FA" w:rsidR="00B84E1E" w:rsidRPr="004121D0" w:rsidRDefault="00B84E1E" w:rsidP="004121D0">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Gabe von Paliperid</w:t>
            </w:r>
            <w:r>
              <w:rPr>
                <w:rFonts w:eastAsia="Times New Roman" w:cs="Arial"/>
                <w:noProof/>
                <w:color w:val="FF0000"/>
                <w:sz w:val="14"/>
                <w:szCs w:val="14"/>
                <w:lang w:eastAsia="de-DE"/>
              </w:rPr>
              <w:t>on, intramuskulär, je mg; OPS 6-006.a*</w:t>
            </w:r>
          </w:p>
        </w:tc>
        <w:tc>
          <w:tcPr>
            <w:tcW w:w="3393" w:type="dxa"/>
            <w:shd w:val="clear" w:color="auto" w:fill="auto"/>
          </w:tcPr>
          <w:p w14:paraId="4B0EADF2" w14:textId="718D941B" w:rsidR="00B84E1E" w:rsidRPr="004121D0" w:rsidRDefault="00B84E1E" w:rsidP="004121D0">
            <w:pPr>
              <w:spacing w:after="0" w:line="240" w:lineRule="auto"/>
              <w:jc w:val="right"/>
              <w:rPr>
                <w:rFonts w:eastAsia="Times New Roman" w:cs="Arial"/>
                <w:noProof/>
                <w:color w:val="FF0000"/>
                <w:sz w:val="14"/>
                <w:szCs w:val="14"/>
                <w:lang w:eastAsia="de-DE"/>
              </w:rPr>
            </w:pPr>
            <w:r w:rsidRPr="004121D0">
              <w:rPr>
                <w:rFonts w:eastAsia="Times New Roman" w:cs="Arial"/>
                <w:noProof/>
                <w:color w:val="FF0000"/>
                <w:sz w:val="14"/>
                <w:szCs w:val="14"/>
                <w:lang w:eastAsia="de-DE"/>
              </w:rPr>
              <w:t xml:space="preserve">    6,07 Euro</w:t>
            </w:r>
          </w:p>
        </w:tc>
      </w:tr>
      <w:tr w:rsidR="00B84E1E" w:rsidRPr="004121D0" w14:paraId="23DDE420" w14:textId="77777777" w:rsidTr="00A257C9">
        <w:tc>
          <w:tcPr>
            <w:tcW w:w="1543" w:type="dxa"/>
            <w:shd w:val="clear" w:color="auto" w:fill="auto"/>
          </w:tcPr>
          <w:p w14:paraId="7F866722" w14:textId="46D8F60C" w:rsidR="00B84E1E"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ZP2025-35</w:t>
            </w:r>
          </w:p>
        </w:tc>
        <w:tc>
          <w:tcPr>
            <w:tcW w:w="5150" w:type="dxa"/>
            <w:shd w:val="clear" w:color="auto" w:fill="auto"/>
          </w:tcPr>
          <w:p w14:paraId="622F6FD9" w14:textId="7F1A9C4F"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Abirateronacetat, oral, je 250 mg Tbl; OPS 6-006.2*</w:t>
            </w:r>
          </w:p>
        </w:tc>
        <w:tc>
          <w:tcPr>
            <w:tcW w:w="3393" w:type="dxa"/>
            <w:shd w:val="clear" w:color="auto" w:fill="auto"/>
          </w:tcPr>
          <w:p w14:paraId="50E2B245" w14:textId="7696907C" w:rsidR="00B84E1E" w:rsidRPr="004121D0" w:rsidRDefault="00B84E1E"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3,60 Euro</w:t>
            </w:r>
          </w:p>
        </w:tc>
      </w:tr>
      <w:tr w:rsidR="00B84E1E" w:rsidRPr="004121D0" w14:paraId="0D36AE90" w14:textId="77777777" w:rsidTr="00A257C9">
        <w:tc>
          <w:tcPr>
            <w:tcW w:w="1543" w:type="dxa"/>
            <w:shd w:val="clear" w:color="auto" w:fill="auto"/>
          </w:tcPr>
          <w:p w14:paraId="1E2C34AD" w14:textId="5F77D2A2"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-39</w:t>
            </w:r>
          </w:p>
        </w:tc>
        <w:tc>
          <w:tcPr>
            <w:tcW w:w="5150" w:type="dxa"/>
            <w:shd w:val="clear" w:color="auto" w:fill="auto"/>
          </w:tcPr>
          <w:p w14:paraId="20ED8766" w14:textId="0D3E3F3E" w:rsidR="00B84E1E" w:rsidRPr="004121D0" w:rsidRDefault="00B84E1E" w:rsidP="004121D0">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 xml:space="preserve">Gabe von </w:t>
            </w:r>
            <w:r>
              <w:rPr>
                <w:rFonts w:eastAsia="Times New Roman" w:cs="Arial"/>
                <w:noProof/>
                <w:color w:val="FF0000"/>
                <w:sz w:val="14"/>
                <w:szCs w:val="14"/>
                <w:lang w:eastAsia="de-DE"/>
              </w:rPr>
              <w:t xml:space="preserve">Etanercept, parenteral, je mg; </w:t>
            </w:r>
            <w:r w:rsidRPr="004121D0">
              <w:rPr>
                <w:rFonts w:eastAsia="Times New Roman" w:cs="Arial"/>
                <w:noProof/>
                <w:color w:val="FF0000"/>
                <w:sz w:val="14"/>
                <w:szCs w:val="14"/>
                <w:lang w:eastAsia="de-DE"/>
              </w:rPr>
              <w:t>OPS 6-002.b*</w:t>
            </w:r>
          </w:p>
        </w:tc>
        <w:tc>
          <w:tcPr>
            <w:tcW w:w="3393" w:type="dxa"/>
            <w:shd w:val="clear" w:color="auto" w:fill="auto"/>
          </w:tcPr>
          <w:p w14:paraId="53701085" w14:textId="7B92AA01" w:rsidR="00B84E1E" w:rsidRPr="004121D0" w:rsidRDefault="00B84E1E" w:rsidP="00B84E1E">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4,03</w:t>
            </w:r>
            <w:r w:rsidRPr="004121D0">
              <w:rPr>
                <w:rFonts w:eastAsia="Times New Roman" w:cs="Arial"/>
                <w:noProof/>
                <w:color w:val="FF0000"/>
                <w:sz w:val="14"/>
                <w:szCs w:val="14"/>
                <w:lang w:eastAsia="de-DE"/>
              </w:rPr>
              <w:t xml:space="preserve"> Euro</w:t>
            </w:r>
          </w:p>
        </w:tc>
      </w:tr>
      <w:tr w:rsidR="00B84E1E" w:rsidRPr="004121D0" w14:paraId="77FA2AAE" w14:textId="77777777" w:rsidTr="00A257C9">
        <w:tc>
          <w:tcPr>
            <w:tcW w:w="1543" w:type="dxa"/>
            <w:shd w:val="clear" w:color="auto" w:fill="auto"/>
          </w:tcPr>
          <w:p w14:paraId="05D3818A" w14:textId="7E4C6877"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-40</w:t>
            </w:r>
          </w:p>
        </w:tc>
        <w:tc>
          <w:tcPr>
            <w:tcW w:w="5150" w:type="dxa"/>
            <w:shd w:val="clear" w:color="auto" w:fill="auto"/>
          </w:tcPr>
          <w:p w14:paraId="1E1D3997" w14:textId="31BA93D5" w:rsidR="00B84E1E" w:rsidRPr="004121D0" w:rsidRDefault="00B84E1E" w:rsidP="007925D3">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Gabe von Imatinib, oral je 100 mg; OPS 6-001.g*</w:t>
            </w:r>
          </w:p>
        </w:tc>
        <w:tc>
          <w:tcPr>
            <w:tcW w:w="3393" w:type="dxa"/>
            <w:shd w:val="clear" w:color="auto" w:fill="auto"/>
          </w:tcPr>
          <w:p w14:paraId="62372102" w14:textId="170B4CFA" w:rsidR="00B84E1E" w:rsidRPr="004121D0" w:rsidRDefault="00B84E1E" w:rsidP="004121D0">
            <w:pPr>
              <w:spacing w:after="0" w:line="240" w:lineRule="auto"/>
              <w:jc w:val="right"/>
              <w:rPr>
                <w:rFonts w:eastAsia="Times New Roman" w:cs="Arial"/>
                <w:noProof/>
                <w:color w:val="FF0000"/>
                <w:sz w:val="14"/>
                <w:szCs w:val="14"/>
                <w:lang w:eastAsia="de-DE"/>
              </w:rPr>
            </w:pPr>
            <w:r w:rsidRPr="004121D0">
              <w:rPr>
                <w:rFonts w:eastAsia="Times New Roman" w:cs="Arial"/>
                <w:noProof/>
                <w:color w:val="FF0000"/>
                <w:sz w:val="14"/>
                <w:szCs w:val="14"/>
                <w:lang w:eastAsia="de-DE"/>
              </w:rPr>
              <w:t>1,00 Euro</w:t>
            </w:r>
          </w:p>
        </w:tc>
      </w:tr>
      <w:tr w:rsidR="00B84E1E" w:rsidRPr="004121D0" w14:paraId="6E710505" w14:textId="77777777" w:rsidTr="00A257C9">
        <w:tc>
          <w:tcPr>
            <w:tcW w:w="1543" w:type="dxa"/>
            <w:shd w:val="clear" w:color="auto" w:fill="auto"/>
          </w:tcPr>
          <w:p w14:paraId="53445710" w14:textId="2794BE95"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ZP2025-41</w:t>
            </w:r>
          </w:p>
        </w:tc>
        <w:tc>
          <w:tcPr>
            <w:tcW w:w="5150" w:type="dxa"/>
            <w:shd w:val="clear" w:color="auto" w:fill="auto"/>
          </w:tcPr>
          <w:p w14:paraId="7FCCD268" w14:textId="1060109B"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Caspofungin, parenteral, je mg; OPS 6-002.p*</w:t>
            </w:r>
          </w:p>
        </w:tc>
        <w:tc>
          <w:tcPr>
            <w:tcW w:w="3393" w:type="dxa"/>
            <w:shd w:val="clear" w:color="auto" w:fill="auto"/>
          </w:tcPr>
          <w:p w14:paraId="6FB0D890" w14:textId="6F54C8AB" w:rsidR="00B84E1E" w:rsidRPr="004121D0" w:rsidRDefault="00B84E1E"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0,52 Euro</w:t>
            </w:r>
          </w:p>
        </w:tc>
      </w:tr>
      <w:tr w:rsidR="00B84E1E" w:rsidRPr="004121D0" w14:paraId="53E7471F" w14:textId="77777777" w:rsidTr="00A257C9">
        <w:tc>
          <w:tcPr>
            <w:tcW w:w="1543" w:type="dxa"/>
            <w:shd w:val="clear" w:color="auto" w:fill="auto"/>
          </w:tcPr>
          <w:p w14:paraId="00DA82A3" w14:textId="03F03634"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-54</w:t>
            </w:r>
          </w:p>
        </w:tc>
        <w:tc>
          <w:tcPr>
            <w:tcW w:w="5150" w:type="dxa"/>
            <w:shd w:val="clear" w:color="auto" w:fill="auto"/>
          </w:tcPr>
          <w:p w14:paraId="59D25764" w14:textId="315C1FBD" w:rsidR="00B84E1E" w:rsidRPr="004121D0" w:rsidRDefault="00B84E1E" w:rsidP="004121D0">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Gabe von Eltrombopag, oral, je mg; OPS 6-006.0*</w:t>
            </w:r>
          </w:p>
        </w:tc>
        <w:tc>
          <w:tcPr>
            <w:tcW w:w="3393" w:type="dxa"/>
            <w:shd w:val="clear" w:color="auto" w:fill="auto"/>
          </w:tcPr>
          <w:p w14:paraId="756F8FA9" w14:textId="363A6E00" w:rsidR="00B84E1E" w:rsidRPr="004121D0" w:rsidRDefault="00B84E1E" w:rsidP="004121D0">
            <w:pPr>
              <w:spacing w:after="0" w:line="240" w:lineRule="auto"/>
              <w:jc w:val="right"/>
              <w:rPr>
                <w:rFonts w:eastAsia="Times New Roman" w:cs="Arial"/>
                <w:noProof/>
                <w:color w:val="FF0000"/>
                <w:sz w:val="14"/>
                <w:szCs w:val="14"/>
                <w:lang w:eastAsia="de-DE"/>
              </w:rPr>
            </w:pPr>
            <w:r w:rsidRPr="004121D0">
              <w:rPr>
                <w:rFonts w:eastAsia="Times New Roman" w:cs="Arial"/>
                <w:noProof/>
                <w:color w:val="FF0000"/>
                <w:sz w:val="14"/>
                <w:szCs w:val="14"/>
                <w:lang w:eastAsia="de-DE"/>
              </w:rPr>
              <w:t>1,85 Euro</w:t>
            </w:r>
          </w:p>
        </w:tc>
      </w:tr>
      <w:tr w:rsidR="00B84E1E" w:rsidRPr="004121D0" w14:paraId="2978DDC3" w14:textId="77777777" w:rsidTr="00A257C9">
        <w:tc>
          <w:tcPr>
            <w:tcW w:w="1543" w:type="dxa"/>
            <w:shd w:val="clear" w:color="auto" w:fill="auto"/>
          </w:tcPr>
          <w:p w14:paraId="23D563E8" w14:textId="4F7D02F7" w:rsidR="00B84E1E"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ZP2025-56</w:t>
            </w:r>
          </w:p>
        </w:tc>
        <w:tc>
          <w:tcPr>
            <w:tcW w:w="5150" w:type="dxa"/>
            <w:shd w:val="clear" w:color="auto" w:fill="auto"/>
          </w:tcPr>
          <w:p w14:paraId="4C6673DA" w14:textId="18C9529E" w:rsidR="00B84E1E" w:rsidRPr="004121D0" w:rsidRDefault="00B84E1E" w:rsidP="004121D0">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Ibrutinib, oral, je mg; OPS 6-007.e*</w:t>
            </w:r>
          </w:p>
        </w:tc>
        <w:tc>
          <w:tcPr>
            <w:tcW w:w="3393" w:type="dxa"/>
            <w:shd w:val="clear" w:color="auto" w:fill="auto"/>
          </w:tcPr>
          <w:p w14:paraId="1177515B" w14:textId="0723B75C" w:rsidR="00B84E1E" w:rsidRPr="004121D0" w:rsidRDefault="00DA6187"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0,48 Euro</w:t>
            </w:r>
          </w:p>
        </w:tc>
      </w:tr>
      <w:tr w:rsidR="00B84E1E" w:rsidRPr="004121D0" w14:paraId="223217BF" w14:textId="77777777" w:rsidTr="00A257C9">
        <w:tc>
          <w:tcPr>
            <w:tcW w:w="1543" w:type="dxa"/>
            <w:shd w:val="clear" w:color="auto" w:fill="auto"/>
          </w:tcPr>
          <w:p w14:paraId="505F4425" w14:textId="21075290" w:rsidR="00B84E1E" w:rsidRPr="004121D0"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-59</w:t>
            </w:r>
          </w:p>
        </w:tc>
        <w:tc>
          <w:tcPr>
            <w:tcW w:w="5150" w:type="dxa"/>
            <w:shd w:val="clear" w:color="auto" w:fill="auto"/>
          </w:tcPr>
          <w:p w14:paraId="71C61023" w14:textId="1457E2B1" w:rsidR="00B84E1E" w:rsidRPr="004121D0" w:rsidRDefault="00B84E1E" w:rsidP="00A257C9">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Gabe vo</w:t>
            </w:r>
            <w:r>
              <w:rPr>
                <w:rFonts w:eastAsia="Times New Roman" w:cs="Arial"/>
                <w:noProof/>
                <w:color w:val="FF0000"/>
                <w:sz w:val="14"/>
                <w:szCs w:val="14"/>
                <w:lang w:eastAsia="de-DE"/>
              </w:rPr>
              <w:t xml:space="preserve">n Adalimumab, parenteral, je </w:t>
            </w:r>
            <w:r w:rsidRPr="004121D0">
              <w:rPr>
                <w:rFonts w:eastAsia="Times New Roman" w:cs="Arial"/>
                <w:noProof/>
                <w:color w:val="FF0000"/>
                <w:sz w:val="14"/>
                <w:szCs w:val="14"/>
                <w:lang w:eastAsia="de-DE"/>
              </w:rPr>
              <w:t>mg; OPS 6-001.d*</w:t>
            </w:r>
          </w:p>
        </w:tc>
        <w:tc>
          <w:tcPr>
            <w:tcW w:w="3393" w:type="dxa"/>
            <w:shd w:val="clear" w:color="auto" w:fill="auto"/>
          </w:tcPr>
          <w:p w14:paraId="5666009B" w14:textId="454D38DC" w:rsidR="00B84E1E" w:rsidRPr="004121D0" w:rsidRDefault="00B84E1E" w:rsidP="00A257C9">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 xml:space="preserve"> 2,05</w:t>
            </w:r>
            <w:r w:rsidRPr="004121D0">
              <w:rPr>
                <w:rFonts w:eastAsia="Times New Roman" w:cs="Arial"/>
                <w:noProof/>
                <w:color w:val="FF0000"/>
                <w:sz w:val="14"/>
                <w:szCs w:val="14"/>
                <w:lang w:eastAsia="de-DE"/>
              </w:rPr>
              <w:t xml:space="preserve"> Euro</w:t>
            </w:r>
          </w:p>
        </w:tc>
      </w:tr>
      <w:tr w:rsidR="00B84E1E" w:rsidRPr="004121D0" w14:paraId="3A2D0004" w14:textId="77777777" w:rsidTr="00A257C9">
        <w:tc>
          <w:tcPr>
            <w:tcW w:w="1543" w:type="dxa"/>
            <w:shd w:val="clear" w:color="auto" w:fill="auto"/>
          </w:tcPr>
          <w:p w14:paraId="390E632B" w14:textId="397C6210" w:rsidR="00B84E1E"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ZP2025-60</w:t>
            </w:r>
          </w:p>
        </w:tc>
        <w:tc>
          <w:tcPr>
            <w:tcW w:w="5150" w:type="dxa"/>
            <w:shd w:val="clear" w:color="auto" w:fill="auto"/>
          </w:tcPr>
          <w:p w14:paraId="77FF3CB0" w14:textId="09E547BF" w:rsidR="00B84E1E" w:rsidRPr="004121D0"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Infliximab, parenteral, je mg; OPS 6-001.e*</w:t>
            </w:r>
          </w:p>
        </w:tc>
        <w:tc>
          <w:tcPr>
            <w:tcW w:w="3393" w:type="dxa"/>
            <w:shd w:val="clear" w:color="auto" w:fill="auto"/>
          </w:tcPr>
          <w:p w14:paraId="15C82480" w14:textId="628A323D" w:rsidR="00B84E1E" w:rsidRDefault="00B84E1E" w:rsidP="00A257C9">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0,89 Euro</w:t>
            </w:r>
          </w:p>
        </w:tc>
      </w:tr>
      <w:tr w:rsidR="00B84E1E" w:rsidRPr="004121D0" w14:paraId="277D4569" w14:textId="77777777" w:rsidTr="00A257C9">
        <w:tc>
          <w:tcPr>
            <w:tcW w:w="1543" w:type="dxa"/>
            <w:shd w:val="clear" w:color="auto" w:fill="auto"/>
          </w:tcPr>
          <w:p w14:paraId="06535B59" w14:textId="19459E8A" w:rsidR="00B84E1E"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ZP2025-74</w:t>
            </w:r>
          </w:p>
        </w:tc>
        <w:tc>
          <w:tcPr>
            <w:tcW w:w="5150" w:type="dxa"/>
            <w:shd w:val="clear" w:color="auto" w:fill="auto"/>
          </w:tcPr>
          <w:p w14:paraId="46E42732" w14:textId="47E599C1" w:rsidR="00B84E1E"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 von Riociguat, oral, je 0,5 mg, 1mg, 1,5 mg, 2 mg. 2,5 mg Tbl; OPS 6-008.0*</w:t>
            </w:r>
          </w:p>
        </w:tc>
        <w:tc>
          <w:tcPr>
            <w:tcW w:w="3393" w:type="dxa"/>
            <w:shd w:val="clear" w:color="auto" w:fill="auto"/>
          </w:tcPr>
          <w:p w14:paraId="39C0760B" w14:textId="0B89BF58" w:rsidR="00B84E1E" w:rsidRDefault="00B84E1E" w:rsidP="00A257C9">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16,67 Euro</w:t>
            </w:r>
          </w:p>
        </w:tc>
      </w:tr>
      <w:tr w:rsidR="00B84E1E" w:rsidRPr="004121D0" w14:paraId="7F486A8B" w14:textId="77777777" w:rsidTr="00A257C9">
        <w:tc>
          <w:tcPr>
            <w:tcW w:w="1543" w:type="dxa"/>
            <w:tcBorders>
              <w:top w:val="single" w:sz="4" w:space="0" w:color="auto"/>
              <w:left w:val="single" w:sz="4" w:space="0" w:color="auto"/>
              <w:bottom w:val="single" w:sz="4" w:space="0" w:color="auto"/>
              <w:right w:val="single" w:sz="4" w:space="0" w:color="auto"/>
            </w:tcBorders>
            <w:shd w:val="clear" w:color="auto" w:fill="auto"/>
          </w:tcPr>
          <w:p w14:paraId="0FAAC5FB" w14:textId="7B8332DF" w:rsidR="00B84E1E" w:rsidRPr="004121D0" w:rsidRDefault="00B84E1E" w:rsidP="00A257C9">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4121D0">
              <w:rPr>
                <w:rFonts w:eastAsia="Times New Roman" w:cs="Arial"/>
                <w:noProof/>
                <w:color w:val="FF0000"/>
                <w:sz w:val="14"/>
                <w:szCs w:val="14"/>
                <w:lang w:eastAsia="de-DE"/>
              </w:rPr>
              <w:t>-92</w:t>
            </w:r>
          </w:p>
        </w:tc>
        <w:tc>
          <w:tcPr>
            <w:tcW w:w="5150" w:type="dxa"/>
            <w:tcBorders>
              <w:top w:val="single" w:sz="4" w:space="0" w:color="auto"/>
              <w:left w:val="single" w:sz="4" w:space="0" w:color="auto"/>
              <w:bottom w:val="single" w:sz="4" w:space="0" w:color="auto"/>
              <w:right w:val="single" w:sz="4" w:space="0" w:color="auto"/>
            </w:tcBorders>
            <w:shd w:val="clear" w:color="auto" w:fill="auto"/>
          </w:tcPr>
          <w:p w14:paraId="2579F84A" w14:textId="017E3F37" w:rsidR="00B84E1E" w:rsidRPr="004121D0" w:rsidRDefault="00B84E1E" w:rsidP="00A257C9">
            <w:pPr>
              <w:spacing w:after="0" w:line="240" w:lineRule="auto"/>
              <w:jc w:val="both"/>
              <w:rPr>
                <w:rFonts w:eastAsia="Times New Roman" w:cs="Arial"/>
                <w:noProof/>
                <w:color w:val="FF0000"/>
                <w:sz w:val="14"/>
                <w:szCs w:val="14"/>
                <w:lang w:eastAsia="de-DE"/>
              </w:rPr>
            </w:pPr>
            <w:r w:rsidRPr="004121D0">
              <w:rPr>
                <w:rFonts w:eastAsia="Times New Roman" w:cs="Arial"/>
                <w:noProof/>
                <w:color w:val="FF0000"/>
                <w:sz w:val="14"/>
                <w:szCs w:val="14"/>
                <w:lang w:eastAsia="de-DE"/>
              </w:rPr>
              <w:t>Gabe von Vedolizumab, parenteral, je 300 mg; OPS 6-008.5*</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5336FB02" w14:textId="1E474B55" w:rsidR="00B84E1E" w:rsidRPr="004121D0" w:rsidRDefault="00B84E1E" w:rsidP="00A257C9">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2.294,50</w:t>
            </w:r>
            <w:r w:rsidRPr="004121D0">
              <w:rPr>
                <w:rFonts w:eastAsia="Times New Roman" w:cs="Arial"/>
                <w:noProof/>
                <w:color w:val="FF0000"/>
                <w:sz w:val="14"/>
                <w:szCs w:val="14"/>
                <w:lang w:eastAsia="de-DE"/>
              </w:rPr>
              <w:t xml:space="preserve"> Euro</w:t>
            </w:r>
          </w:p>
        </w:tc>
      </w:tr>
    </w:tbl>
    <w:p w14:paraId="3F5C2FBC" w14:textId="77777777" w:rsidR="004121D0" w:rsidRPr="004121D0" w:rsidRDefault="004121D0" w:rsidP="004121D0">
      <w:pPr>
        <w:spacing w:after="0" w:line="240" w:lineRule="auto"/>
        <w:rPr>
          <w:rFonts w:eastAsia="Times New Roman" w:cs="Arial"/>
          <w:b/>
          <w:bCs/>
          <w:noProof/>
          <w:color w:val="auto"/>
          <w:sz w:val="14"/>
          <w:szCs w:val="14"/>
          <w:highlight w:val="lightGray"/>
          <w:u w:val="single"/>
          <w:lang w:eastAsia="de-DE"/>
        </w:rPr>
      </w:pPr>
    </w:p>
    <w:p w14:paraId="4EA00415" w14:textId="3C67E6B8" w:rsidR="004121D0" w:rsidRPr="004121D0" w:rsidRDefault="004121D0" w:rsidP="004121D0">
      <w:pPr>
        <w:spacing w:after="0" w:line="240" w:lineRule="auto"/>
        <w:rPr>
          <w:rFonts w:eastAsia="Times New Roman" w:cs="Arial"/>
          <w:b/>
          <w:bCs/>
          <w:noProof/>
          <w:color w:val="auto"/>
          <w:sz w:val="14"/>
          <w:szCs w:val="14"/>
          <w:u w:val="single"/>
          <w:lang w:eastAsia="de-DE"/>
        </w:rPr>
      </w:pPr>
      <w:r w:rsidRPr="004121D0">
        <w:rPr>
          <w:rFonts w:eastAsia="Times New Roman" w:cs="Arial"/>
          <w:b/>
          <w:bCs/>
          <w:noProof/>
          <w:color w:val="auto"/>
          <w:sz w:val="14"/>
          <w:szCs w:val="14"/>
          <w:highlight w:val="lightGray"/>
          <w:u w:val="single"/>
          <w:lang w:eastAsia="de-DE"/>
        </w:rPr>
        <w:t>4. Sonstige Entgelte fü</w:t>
      </w:r>
      <w:r w:rsidR="00860EEB">
        <w:rPr>
          <w:rFonts w:eastAsia="Times New Roman" w:cs="Arial"/>
          <w:b/>
          <w:bCs/>
          <w:noProof/>
          <w:color w:val="auto"/>
          <w:sz w:val="14"/>
          <w:szCs w:val="14"/>
          <w:highlight w:val="lightGray"/>
          <w:u w:val="single"/>
          <w:lang w:eastAsia="de-DE"/>
        </w:rPr>
        <w:t>r Leistungen gem. § 8 PEPPV 2025</w:t>
      </w:r>
    </w:p>
    <w:p w14:paraId="6BC969BA" w14:textId="2863E6EE"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Für Leistungen, die mit den bewerteten Entgelten noch nicht sachgerecht vergütet werden können, haben die Vertragsparteien grundsätzlich die Möglichkeit sonstige Entgelte nach § 6 Abs. 1 S. 1 BPflV zu vereinbaren. Die krankenhausindividuell zu vereinbarenden Entgelte ergeben sich fü</w:t>
      </w:r>
      <w:r w:rsidR="00860EEB">
        <w:rPr>
          <w:rFonts w:eastAsia="Times New Roman" w:cs="Arial"/>
          <w:color w:val="auto"/>
          <w:sz w:val="14"/>
          <w:szCs w:val="14"/>
          <w:lang w:eastAsia="de-DE"/>
        </w:rPr>
        <w:t>r den Vereinbarungszeitraum 2025</w:t>
      </w:r>
      <w:r w:rsidRPr="004121D0">
        <w:rPr>
          <w:rFonts w:eastAsia="Times New Roman" w:cs="Arial"/>
          <w:color w:val="auto"/>
          <w:sz w:val="14"/>
          <w:szCs w:val="14"/>
          <w:lang w:eastAsia="de-DE"/>
        </w:rPr>
        <w:t xml:space="preserve"> aus den Anlagen 1b und 2b PEPPV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w:t>
      </w:r>
    </w:p>
    <w:p w14:paraId="28E9E514" w14:textId="7FE26DF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Können für die Leistungen nach </w:t>
      </w:r>
      <w:r w:rsidRPr="004121D0">
        <w:rPr>
          <w:rFonts w:eastAsia="Times New Roman" w:cs="Arial"/>
          <w:b/>
          <w:color w:val="auto"/>
          <w:sz w:val="14"/>
          <w:szCs w:val="14"/>
          <w:lang w:eastAsia="de-DE"/>
        </w:rPr>
        <w:t>Anlage 1b</w:t>
      </w:r>
      <w:r w:rsidRPr="004121D0">
        <w:rPr>
          <w:rFonts w:eastAsia="Times New Roman" w:cs="Arial"/>
          <w:color w:val="auto"/>
          <w:sz w:val="14"/>
          <w:szCs w:val="14"/>
          <w:lang w:eastAsia="de-DE"/>
        </w:rPr>
        <w:t xml:space="preserve"> PEPPV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auf Grund einer fehlenden Vereinbarung für den Vereinbarungszeitraum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noch keine krankenhausindividuellen Entgelte abgerechnet werden, sind für jeden vollstationären Berechnungstag </w:t>
      </w:r>
      <w:r w:rsidRPr="004121D0">
        <w:rPr>
          <w:rFonts w:eastAsia="Times New Roman" w:cs="Arial"/>
          <w:b/>
          <w:color w:val="auto"/>
          <w:sz w:val="14"/>
          <w:szCs w:val="14"/>
          <w:lang w:eastAsia="de-DE"/>
        </w:rPr>
        <w:t>250,00 Euro</w:t>
      </w:r>
      <w:r w:rsidRPr="004121D0">
        <w:rPr>
          <w:rFonts w:eastAsia="Times New Roman" w:cs="Arial"/>
          <w:color w:val="auto"/>
          <w:sz w:val="14"/>
          <w:szCs w:val="14"/>
          <w:lang w:eastAsia="de-DE"/>
        </w:rPr>
        <w:t xml:space="preserve"> abzurechnen.</w:t>
      </w:r>
    </w:p>
    <w:p w14:paraId="3006084F" w14:textId="65D6AFCE"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Können für die Leistungen nach </w:t>
      </w:r>
      <w:r w:rsidRPr="004121D0">
        <w:rPr>
          <w:rFonts w:eastAsia="Times New Roman" w:cs="Arial"/>
          <w:b/>
          <w:color w:val="auto"/>
          <w:sz w:val="14"/>
          <w:szCs w:val="14"/>
          <w:lang w:eastAsia="de-DE"/>
        </w:rPr>
        <w:t>Anlage 2b</w:t>
      </w:r>
      <w:r w:rsidRPr="004121D0">
        <w:rPr>
          <w:rFonts w:eastAsia="Times New Roman" w:cs="Arial"/>
          <w:color w:val="auto"/>
          <w:sz w:val="14"/>
          <w:szCs w:val="14"/>
          <w:lang w:eastAsia="de-DE"/>
        </w:rPr>
        <w:t xml:space="preserve"> PEPPV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auf Grund einer fehlenden Vereinbarung für den Vereinbarungszeitraum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noch keine krankenhausindividuellen Entgelte abgerechnet werden, sind für jeden teilstationären Berechnungstag </w:t>
      </w:r>
      <w:r w:rsidRPr="004121D0">
        <w:rPr>
          <w:rFonts w:eastAsia="Times New Roman" w:cs="Arial"/>
          <w:b/>
          <w:color w:val="auto"/>
          <w:sz w:val="14"/>
          <w:szCs w:val="14"/>
          <w:lang w:eastAsia="de-DE"/>
        </w:rPr>
        <w:t>190,00 Euro</w:t>
      </w:r>
      <w:r w:rsidRPr="004121D0">
        <w:rPr>
          <w:rFonts w:eastAsia="Times New Roman" w:cs="Arial"/>
          <w:color w:val="auto"/>
          <w:sz w:val="14"/>
          <w:szCs w:val="14"/>
          <w:lang w:eastAsia="de-DE"/>
        </w:rPr>
        <w:t xml:space="preserve"> abzurechnen. </w:t>
      </w:r>
    </w:p>
    <w:p w14:paraId="72798295" w14:textId="396008DC"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Wurden für Leistungen nach den </w:t>
      </w:r>
      <w:r w:rsidRPr="004121D0">
        <w:rPr>
          <w:rFonts w:eastAsia="Times New Roman" w:cs="Arial"/>
          <w:b/>
          <w:color w:val="auto"/>
          <w:sz w:val="14"/>
          <w:szCs w:val="14"/>
          <w:lang w:eastAsia="de-DE"/>
        </w:rPr>
        <w:t>Anlagen 1b und 2b</w:t>
      </w:r>
      <w:r w:rsidRPr="004121D0">
        <w:rPr>
          <w:rFonts w:eastAsia="Times New Roman" w:cs="Arial"/>
          <w:color w:val="auto"/>
          <w:sz w:val="14"/>
          <w:szCs w:val="14"/>
          <w:lang w:eastAsia="de-DE"/>
        </w:rPr>
        <w:t xml:space="preserve"> PEPPV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im Jahr 202</w:t>
      </w:r>
      <w:r w:rsidR="00860EEB">
        <w:rPr>
          <w:rFonts w:eastAsia="Times New Roman" w:cs="Arial"/>
          <w:color w:val="auto"/>
          <w:sz w:val="14"/>
          <w:szCs w:val="14"/>
          <w:lang w:eastAsia="de-DE"/>
        </w:rPr>
        <w:t>5</w:t>
      </w:r>
      <w:r w:rsidRPr="004121D0">
        <w:rPr>
          <w:rFonts w:eastAsia="Times New Roman" w:cs="Arial"/>
          <w:color w:val="auto"/>
          <w:sz w:val="14"/>
          <w:szCs w:val="14"/>
          <w:lang w:eastAsia="de-DE"/>
        </w:rPr>
        <w:t xml:space="preserve"> keine Entgelte vereinbart, sind im Einzelfall auf der Grundlage von § 8 Absatz 1 Satz 3 der Bundespflegesatzverordnung für jeden vollstationären Berechnungstag </w:t>
      </w:r>
      <w:r w:rsidRPr="004121D0">
        <w:rPr>
          <w:rFonts w:eastAsia="Times New Roman" w:cs="Arial"/>
          <w:b/>
          <w:color w:val="auto"/>
          <w:sz w:val="14"/>
          <w:szCs w:val="14"/>
          <w:lang w:eastAsia="de-DE"/>
        </w:rPr>
        <w:t>250,00 Euro</w:t>
      </w:r>
      <w:r w:rsidRPr="004121D0">
        <w:rPr>
          <w:rFonts w:eastAsia="Times New Roman" w:cs="Arial"/>
          <w:color w:val="auto"/>
          <w:sz w:val="14"/>
          <w:szCs w:val="14"/>
          <w:lang w:eastAsia="de-DE"/>
        </w:rPr>
        <w:t xml:space="preserve"> und für jeden teilstationären Berechnungstag </w:t>
      </w:r>
      <w:r w:rsidRPr="004121D0">
        <w:rPr>
          <w:rFonts w:eastAsia="Times New Roman" w:cs="Arial"/>
          <w:b/>
          <w:color w:val="auto"/>
          <w:sz w:val="14"/>
          <w:szCs w:val="14"/>
          <w:lang w:eastAsia="de-DE"/>
        </w:rPr>
        <w:t>190,00 Euro</w:t>
      </w:r>
      <w:r w:rsidRPr="004121D0">
        <w:rPr>
          <w:rFonts w:eastAsia="Times New Roman" w:cs="Arial"/>
          <w:color w:val="auto"/>
          <w:sz w:val="14"/>
          <w:szCs w:val="14"/>
          <w:lang w:eastAsia="de-DE"/>
        </w:rPr>
        <w:t xml:space="preserve"> abzurechnen.</w:t>
      </w:r>
    </w:p>
    <w:p w14:paraId="3A937DB3"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Für Bezirksklinikum Obermain wurden folgende sonstige Entgelte nach Anlage 1b vereinbart: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5969"/>
        <w:gridCol w:w="3402"/>
      </w:tblGrid>
      <w:tr w:rsidR="004121D0" w:rsidRPr="004121D0" w14:paraId="02014175" w14:textId="77777777" w:rsidTr="00A257C9">
        <w:trPr>
          <w:trHeight w:val="86"/>
        </w:trPr>
        <w:tc>
          <w:tcPr>
            <w:tcW w:w="835" w:type="dxa"/>
            <w:hideMark/>
          </w:tcPr>
          <w:p w14:paraId="474A0156" w14:textId="77777777" w:rsidR="004121D0" w:rsidRPr="004121D0" w:rsidRDefault="004121D0" w:rsidP="004121D0">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PA18Z</w:t>
            </w:r>
          </w:p>
        </w:tc>
        <w:tc>
          <w:tcPr>
            <w:tcW w:w="5969" w:type="dxa"/>
            <w:hideMark/>
          </w:tcPr>
          <w:p w14:paraId="7D221AC1" w14:textId="77777777" w:rsidR="004121D0" w:rsidRPr="004121D0" w:rsidRDefault="004121D0" w:rsidP="004121D0">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Umschriebene Entwicklungsstörungen oder andere neuropsychiatrische Symptome</w:t>
            </w:r>
          </w:p>
        </w:tc>
        <w:tc>
          <w:tcPr>
            <w:tcW w:w="3402" w:type="dxa"/>
            <w:hideMark/>
          </w:tcPr>
          <w:p w14:paraId="20694824" w14:textId="72606C53" w:rsidR="004121D0" w:rsidRPr="004121D0" w:rsidRDefault="004121D0" w:rsidP="00F4508E">
            <w:pPr>
              <w:autoSpaceDE w:val="0"/>
              <w:autoSpaceDN w:val="0"/>
              <w:adjustRightInd w:val="0"/>
              <w:spacing w:after="0" w:line="240" w:lineRule="auto"/>
              <w:jc w:val="both"/>
              <w:rPr>
                <w:rFonts w:eastAsia="Times New Roman" w:cs="Arial"/>
                <w:color w:val="000000"/>
                <w:sz w:val="14"/>
                <w:szCs w:val="14"/>
                <w:lang w:eastAsia="de-DE"/>
              </w:rPr>
            </w:pPr>
            <w:r w:rsidRPr="004121D0">
              <w:rPr>
                <w:rFonts w:eastAsia="Times New Roman" w:cs="Arial"/>
                <w:color w:val="000000"/>
                <w:sz w:val="14"/>
                <w:szCs w:val="14"/>
                <w:lang w:eastAsia="de-DE"/>
              </w:rPr>
              <w:t xml:space="preserve">                                                            </w:t>
            </w:r>
            <w:r w:rsidR="00F4508E">
              <w:rPr>
                <w:rFonts w:eastAsia="Times New Roman" w:cs="Arial"/>
                <w:color w:val="000000"/>
                <w:sz w:val="14"/>
                <w:szCs w:val="14"/>
                <w:lang w:eastAsia="de-DE"/>
              </w:rPr>
              <w:t>342,10</w:t>
            </w:r>
            <w:r w:rsidRPr="004121D0">
              <w:rPr>
                <w:rFonts w:eastAsia="Times New Roman" w:cs="Arial"/>
                <w:color w:val="000000"/>
                <w:sz w:val="14"/>
                <w:szCs w:val="14"/>
                <w:lang w:eastAsia="de-DE"/>
              </w:rPr>
              <w:t xml:space="preserve"> Euro</w:t>
            </w:r>
          </w:p>
        </w:tc>
      </w:tr>
    </w:tbl>
    <w:p w14:paraId="0538D7B6"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                                                 </w:t>
      </w:r>
      <w:r w:rsidRPr="004121D0">
        <w:rPr>
          <w:rFonts w:eastAsia="Times New Roman" w:cs="Arial"/>
          <w:noProof/>
          <w:color w:val="auto"/>
          <w:sz w:val="14"/>
          <w:szCs w:val="14"/>
          <w:lang w:eastAsia="de-DE"/>
        </w:rPr>
        <w:tab/>
      </w:r>
      <w:r w:rsidRPr="004121D0">
        <w:rPr>
          <w:rFonts w:eastAsia="Times New Roman" w:cs="Arial"/>
          <w:noProof/>
          <w:color w:val="auto"/>
          <w:sz w:val="14"/>
          <w:szCs w:val="14"/>
          <w:lang w:eastAsia="de-DE"/>
        </w:rPr>
        <w:tab/>
      </w:r>
      <w:r w:rsidRPr="004121D0">
        <w:rPr>
          <w:rFonts w:eastAsia="Times New Roman" w:cs="Arial"/>
          <w:noProof/>
          <w:color w:val="auto"/>
          <w:sz w:val="14"/>
          <w:szCs w:val="14"/>
          <w:lang w:eastAsia="de-DE"/>
        </w:rPr>
        <w:tab/>
      </w:r>
      <w:r w:rsidRPr="004121D0">
        <w:rPr>
          <w:rFonts w:eastAsia="Times New Roman" w:cs="Arial"/>
          <w:noProof/>
          <w:color w:val="auto"/>
          <w:sz w:val="14"/>
          <w:szCs w:val="14"/>
          <w:lang w:eastAsia="de-DE"/>
        </w:rPr>
        <w:tab/>
      </w:r>
    </w:p>
    <w:p w14:paraId="70B8090E" w14:textId="77777777" w:rsidR="004121D0" w:rsidRPr="004121D0" w:rsidRDefault="004121D0" w:rsidP="004121D0">
      <w:pPr>
        <w:widowControl w:val="0"/>
        <w:spacing w:after="0" w:line="240" w:lineRule="auto"/>
        <w:ind w:right="-425"/>
        <w:contextualSpacing/>
        <w:jc w:val="both"/>
        <w:rPr>
          <w:rFonts w:eastAsia="Times New Roman" w:cs="Arial"/>
          <w:b/>
          <w:bCs/>
          <w:color w:val="auto"/>
          <w:sz w:val="16"/>
          <w:szCs w:val="16"/>
          <w:lang w:eastAsia="de-DE"/>
        </w:rPr>
      </w:pPr>
      <w:r w:rsidRPr="004121D0">
        <w:rPr>
          <w:rFonts w:eastAsia="Times New Roman" w:cs="Arial"/>
          <w:b/>
          <w:bCs/>
          <w:noProof/>
          <w:color w:val="auto"/>
          <w:sz w:val="14"/>
          <w:szCs w:val="14"/>
          <w:highlight w:val="lightGray"/>
          <w:u w:val="single"/>
          <w:lang w:eastAsia="de-DE"/>
        </w:rPr>
        <w:t>5. Entgelte für neue Untersuchungs- und Behandlungsmethoden gem. § 7 Ziff. 6 KHEntgG</w:t>
      </w:r>
    </w:p>
    <w:p w14:paraId="5F4047CC" w14:textId="220453CA" w:rsidR="004121D0" w:rsidRPr="004121D0" w:rsidRDefault="004121D0" w:rsidP="004121D0">
      <w:pPr>
        <w:widowControl w:val="0"/>
        <w:spacing w:after="0" w:line="240" w:lineRule="auto"/>
        <w:contextualSpacing/>
        <w:jc w:val="both"/>
        <w:rPr>
          <w:rFonts w:eastAsia="Times New Roman" w:cs="Arial"/>
          <w:b/>
          <w:color w:val="auto"/>
          <w:sz w:val="14"/>
          <w:szCs w:val="14"/>
          <w:lang w:eastAsia="de-DE"/>
        </w:rPr>
      </w:pPr>
      <w:r w:rsidRPr="004121D0">
        <w:rPr>
          <w:rFonts w:eastAsia="Times New Roman" w:cs="Arial"/>
          <w:color w:val="auto"/>
          <w:sz w:val="14"/>
          <w:szCs w:val="14"/>
          <w:lang w:eastAsia="de-DE"/>
        </w:rPr>
        <w:t xml:space="preserve">Für die Vergütung von neuen Untersuchungs- und Behandlungsmethoden, die noch nicht mit den PEPP-Fallpauschalen und bundeseinheitlich festgelegten Zusatzpauschalen sachgerecht vergütet werden können und die nicht gem. § 137c SGB V von der Finanzierung ausgeschlossen sind, hat das Krankenhaus gem. § 6 Abs. 2 KHEntgG mit den zuständigen Kostenträgern folgende zeitlich befristete fallbezogene Entgelte vereinbart:                  </w:t>
      </w:r>
      <w:r w:rsidR="00660058">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sidRPr="004121D0">
        <w:rPr>
          <w:rFonts w:eastAsia="Times New Roman" w:cs="Arial"/>
          <w:b/>
          <w:color w:val="auto"/>
          <w:sz w:val="14"/>
          <w:szCs w:val="14"/>
          <w:lang w:eastAsia="de-DE"/>
        </w:rPr>
        <w:t>ab 01.10.202</w:t>
      </w:r>
      <w:r w:rsidR="0017302D">
        <w:rPr>
          <w:rFonts w:eastAsia="Times New Roman" w:cs="Arial"/>
          <w:b/>
          <w:color w:val="auto"/>
          <w:sz w:val="14"/>
          <w:szCs w:val="14"/>
          <w:lang w:eastAsia="de-DE"/>
        </w:rPr>
        <w:t>5</w:t>
      </w:r>
      <w:r w:rsidRPr="004121D0">
        <w:rPr>
          <w:rFonts w:eastAsia="Times New Roman" w:cs="Arial"/>
          <w:b/>
          <w:color w:val="auto"/>
          <w:sz w:val="14"/>
          <w:szCs w:val="14"/>
          <w:lang w:eastAsia="de-DE"/>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97"/>
        <w:gridCol w:w="3372"/>
      </w:tblGrid>
      <w:tr w:rsidR="00AF22F3" w:rsidRPr="004121D0" w14:paraId="14D0439F" w14:textId="77777777" w:rsidTr="00A257C9">
        <w:trPr>
          <w:trHeight w:val="160"/>
        </w:trPr>
        <w:tc>
          <w:tcPr>
            <w:tcW w:w="3337" w:type="dxa"/>
            <w:shd w:val="clear" w:color="auto" w:fill="auto"/>
          </w:tcPr>
          <w:p w14:paraId="400F596A" w14:textId="2A938AA4"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Abemaciclib, je 50, je 100 oder 150 mg,     36,30 €</w:t>
            </w:r>
          </w:p>
        </w:tc>
        <w:tc>
          <w:tcPr>
            <w:tcW w:w="3497" w:type="dxa"/>
            <w:shd w:val="clear" w:color="auto" w:fill="auto"/>
          </w:tcPr>
          <w:p w14:paraId="27E61E76" w14:textId="25C2ADBF"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Fenfluramin, je 132 mg                                </w:t>
            </w:r>
            <w:r w:rsidR="00A257C9">
              <w:rPr>
                <w:rFonts w:eastAsia="Times New Roman" w:cs="Arial"/>
                <w:color w:val="auto"/>
                <w:sz w:val="14"/>
                <w:szCs w:val="14"/>
                <w:lang w:eastAsia="de-DE"/>
              </w:rPr>
              <w:t xml:space="preserve">  480,21</w:t>
            </w:r>
            <w:r>
              <w:rPr>
                <w:rFonts w:eastAsia="Times New Roman" w:cs="Arial"/>
                <w:color w:val="auto"/>
                <w:sz w:val="14"/>
                <w:szCs w:val="14"/>
                <w:lang w:eastAsia="de-DE"/>
              </w:rPr>
              <w:t xml:space="preserve"> €</w:t>
            </w:r>
          </w:p>
        </w:tc>
        <w:tc>
          <w:tcPr>
            <w:tcW w:w="3372" w:type="dxa"/>
            <w:shd w:val="clear" w:color="auto" w:fill="auto"/>
          </w:tcPr>
          <w:p w14:paraId="422B5E5F" w14:textId="0EC3D05E"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5 mg                                        33,77 €</w:t>
            </w:r>
          </w:p>
        </w:tc>
      </w:tr>
      <w:tr w:rsidR="00AF22F3" w:rsidRPr="004121D0" w14:paraId="644BF20C" w14:textId="77777777" w:rsidTr="00A257C9">
        <w:trPr>
          <w:trHeight w:val="160"/>
        </w:trPr>
        <w:tc>
          <w:tcPr>
            <w:tcW w:w="3337" w:type="dxa"/>
            <w:shd w:val="clear" w:color="auto" w:fill="auto"/>
          </w:tcPr>
          <w:p w14:paraId="18332FA8" w14:textId="3AC65A55"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Anifrolumab, je 300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989,31 €</w:t>
            </w:r>
          </w:p>
        </w:tc>
        <w:tc>
          <w:tcPr>
            <w:tcW w:w="3497" w:type="dxa"/>
            <w:shd w:val="clear" w:color="auto" w:fill="auto"/>
          </w:tcPr>
          <w:p w14:paraId="7EB80ABB" w14:textId="2AF9B10B"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Glecaprevir-Pibrentasvir, 40/100 mg             172,65 €</w:t>
            </w:r>
          </w:p>
        </w:tc>
        <w:tc>
          <w:tcPr>
            <w:tcW w:w="3372" w:type="dxa"/>
            <w:shd w:val="clear" w:color="auto" w:fill="auto"/>
          </w:tcPr>
          <w:p w14:paraId="7580ABCE" w14:textId="091D5ECC" w:rsidR="00AF22F3"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Sarilumab, je 150/200 mg                           672,94 €</w:t>
            </w:r>
          </w:p>
        </w:tc>
      </w:tr>
      <w:tr w:rsidR="00AF22F3" w:rsidRPr="004121D0" w14:paraId="1552E70C" w14:textId="77777777" w:rsidTr="00A257C9">
        <w:trPr>
          <w:trHeight w:val="160"/>
        </w:trPr>
        <w:tc>
          <w:tcPr>
            <w:tcW w:w="3337" w:type="dxa"/>
            <w:shd w:val="clear" w:color="auto" w:fill="auto"/>
          </w:tcPr>
          <w:p w14:paraId="0C377598" w14:textId="600CB7C1"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Avacopan, je 10 mg                             </w:t>
            </w:r>
            <w:r>
              <w:rPr>
                <w:rFonts w:eastAsia="Times New Roman" w:cs="Arial"/>
                <w:color w:val="auto"/>
                <w:sz w:val="14"/>
                <w:szCs w:val="14"/>
                <w:lang w:eastAsia="de-DE"/>
              </w:rPr>
              <w:t xml:space="preserve"> </w:t>
            </w:r>
            <w:r w:rsidR="00A257C9">
              <w:rPr>
                <w:rFonts w:eastAsia="Times New Roman" w:cs="Arial"/>
                <w:color w:val="auto"/>
                <w:sz w:val="14"/>
                <w:szCs w:val="14"/>
                <w:lang w:eastAsia="de-DE"/>
              </w:rPr>
              <w:t xml:space="preserve">       34,64</w:t>
            </w:r>
            <w:r w:rsidRPr="004121D0">
              <w:rPr>
                <w:rFonts w:eastAsia="Times New Roman" w:cs="Arial"/>
                <w:color w:val="auto"/>
                <w:sz w:val="14"/>
                <w:szCs w:val="14"/>
                <w:lang w:eastAsia="de-DE"/>
              </w:rPr>
              <w:t xml:space="preserve"> €</w:t>
            </w:r>
          </w:p>
        </w:tc>
        <w:tc>
          <w:tcPr>
            <w:tcW w:w="3497" w:type="dxa"/>
            <w:shd w:val="clear" w:color="auto" w:fill="auto"/>
          </w:tcPr>
          <w:p w14:paraId="46A7086F" w14:textId="5B42D16B"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Golimumab, je 50 mg          </w:t>
            </w:r>
            <w:r w:rsidR="00A257C9">
              <w:rPr>
                <w:rFonts w:eastAsia="Times New Roman" w:cs="Arial"/>
                <w:color w:val="auto"/>
                <w:sz w:val="14"/>
                <w:szCs w:val="14"/>
                <w:lang w:eastAsia="de-DE"/>
              </w:rPr>
              <w:t xml:space="preserve">                          871,71</w:t>
            </w:r>
            <w:r w:rsidRPr="004121D0">
              <w:rPr>
                <w:rFonts w:eastAsia="Times New Roman" w:cs="Arial"/>
                <w:color w:val="auto"/>
                <w:sz w:val="14"/>
                <w:szCs w:val="14"/>
                <w:lang w:eastAsia="de-DE"/>
              </w:rPr>
              <w:t xml:space="preserve"> €</w:t>
            </w:r>
          </w:p>
        </w:tc>
        <w:tc>
          <w:tcPr>
            <w:tcW w:w="3372" w:type="dxa"/>
            <w:shd w:val="clear" w:color="auto" w:fill="auto"/>
          </w:tcPr>
          <w:p w14:paraId="10FB575B" w14:textId="57FB6FE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Secukinumab, je 150 mg  </w:t>
            </w:r>
            <w:r w:rsidR="00ED105D">
              <w:rPr>
                <w:rFonts w:eastAsia="Times New Roman" w:cs="Arial"/>
                <w:color w:val="auto"/>
                <w:sz w:val="14"/>
                <w:szCs w:val="14"/>
                <w:lang w:eastAsia="de-DE"/>
              </w:rPr>
              <w:t xml:space="preserve">                          320,74</w:t>
            </w:r>
            <w:r w:rsidRPr="004121D0">
              <w:rPr>
                <w:rFonts w:eastAsia="Times New Roman" w:cs="Arial"/>
                <w:color w:val="auto"/>
                <w:sz w:val="14"/>
                <w:szCs w:val="14"/>
                <w:lang w:eastAsia="de-DE"/>
              </w:rPr>
              <w:t xml:space="preserve"> €</w:t>
            </w:r>
          </w:p>
        </w:tc>
      </w:tr>
      <w:tr w:rsidR="00AF22F3" w:rsidRPr="004121D0" w14:paraId="11CF650C" w14:textId="77777777" w:rsidTr="00A257C9">
        <w:trPr>
          <w:trHeight w:val="159"/>
        </w:trPr>
        <w:tc>
          <w:tcPr>
            <w:tcW w:w="3337" w:type="dxa"/>
            <w:shd w:val="clear" w:color="auto" w:fill="auto"/>
          </w:tcPr>
          <w:p w14:paraId="14BEEDD3" w14:textId="02ADFB78"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Benralizumab, je 30 mg                          2.474,38 €</w:t>
            </w:r>
          </w:p>
        </w:tc>
        <w:tc>
          <w:tcPr>
            <w:tcW w:w="3497" w:type="dxa"/>
            <w:shd w:val="clear" w:color="auto" w:fill="auto"/>
          </w:tcPr>
          <w:p w14:paraId="7BB680EE" w14:textId="1D99B6F9"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Guselkumab, je 100 mg     </w:t>
            </w:r>
            <w:r w:rsidR="00A257C9">
              <w:rPr>
                <w:rFonts w:eastAsia="Times New Roman" w:cs="Arial"/>
                <w:color w:val="auto"/>
                <w:sz w:val="14"/>
                <w:szCs w:val="14"/>
                <w:lang w:eastAsia="de-DE"/>
              </w:rPr>
              <w:t xml:space="preserve">                        2.566,44</w:t>
            </w:r>
            <w:r w:rsidRPr="004121D0">
              <w:rPr>
                <w:rFonts w:eastAsia="Times New Roman" w:cs="Arial"/>
                <w:color w:val="auto"/>
                <w:sz w:val="14"/>
                <w:szCs w:val="14"/>
                <w:lang w:eastAsia="de-DE"/>
              </w:rPr>
              <w:t xml:space="preserve"> €</w:t>
            </w:r>
          </w:p>
        </w:tc>
        <w:tc>
          <w:tcPr>
            <w:tcW w:w="3372" w:type="dxa"/>
            <w:shd w:val="clear" w:color="auto" w:fill="auto"/>
          </w:tcPr>
          <w:p w14:paraId="237D1D07" w14:textId="606595F4"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Selexipag, je Tab.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50,53 €</w:t>
            </w:r>
          </w:p>
        </w:tc>
      </w:tr>
      <w:tr w:rsidR="00AF22F3" w:rsidRPr="004121D0" w14:paraId="5B0A92C8" w14:textId="77777777" w:rsidTr="00A257C9">
        <w:trPr>
          <w:trHeight w:val="159"/>
        </w:trPr>
        <w:tc>
          <w:tcPr>
            <w:tcW w:w="3337" w:type="dxa"/>
            <w:shd w:val="clear" w:color="auto" w:fill="auto"/>
          </w:tcPr>
          <w:p w14:paraId="5C64261E" w14:textId="68670086" w:rsidR="00AF22F3" w:rsidRPr="004121D0" w:rsidRDefault="00AF22F3" w:rsidP="00A257C9">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Bimekizumab, je</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160</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mg</w:t>
            </w:r>
            <w:r>
              <w:rPr>
                <w:rFonts w:eastAsia="Times New Roman" w:cs="Arial"/>
                <w:color w:val="auto"/>
                <w:sz w:val="14"/>
                <w:szCs w:val="14"/>
                <w:lang w:eastAsia="de-DE"/>
              </w:rPr>
              <w:t xml:space="preserve"> Fertigspritze   </w:t>
            </w:r>
            <w:r w:rsidR="00A257C9">
              <w:rPr>
                <w:rFonts w:eastAsia="Times New Roman" w:cs="Arial"/>
                <w:color w:val="auto"/>
                <w:sz w:val="14"/>
                <w:szCs w:val="14"/>
                <w:lang w:eastAsia="de-DE"/>
              </w:rPr>
              <w:t xml:space="preserve"> 1.191,71</w:t>
            </w:r>
            <w:r w:rsidRPr="004121D0">
              <w:rPr>
                <w:rFonts w:eastAsia="Times New Roman" w:cs="Arial"/>
                <w:color w:val="auto"/>
                <w:sz w:val="14"/>
                <w:szCs w:val="14"/>
                <w:lang w:eastAsia="de-DE"/>
              </w:rPr>
              <w:t xml:space="preserve"> €</w:t>
            </w:r>
          </w:p>
        </w:tc>
        <w:tc>
          <w:tcPr>
            <w:tcW w:w="3497" w:type="dxa"/>
            <w:shd w:val="clear" w:color="auto" w:fill="auto"/>
          </w:tcPr>
          <w:p w14:paraId="091745E9" w14:textId="692481E9"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Inclisiran, je mg                                                  8,30 €</w:t>
            </w:r>
          </w:p>
        </w:tc>
        <w:tc>
          <w:tcPr>
            <w:tcW w:w="3372" w:type="dxa"/>
            <w:shd w:val="clear" w:color="auto" w:fill="auto"/>
          </w:tcPr>
          <w:p w14:paraId="5CE1BC88" w14:textId="1911C21A" w:rsidR="00AF22F3" w:rsidRPr="004121D0" w:rsidRDefault="00ED105D"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Selpercatinib, je</w:t>
            </w:r>
            <w:r w:rsidR="00AF22F3" w:rsidRPr="004121D0">
              <w:rPr>
                <w:rFonts w:eastAsia="Times New Roman" w:cs="Arial"/>
                <w:color w:val="auto"/>
                <w:sz w:val="14"/>
                <w:szCs w:val="14"/>
                <w:lang w:eastAsia="de-DE"/>
              </w:rPr>
              <w:t xml:space="preserve"> mg     </w:t>
            </w:r>
            <w:r w:rsidR="00AF22F3">
              <w:rPr>
                <w:rFonts w:eastAsia="Times New Roman" w:cs="Arial"/>
                <w:color w:val="auto"/>
                <w:sz w:val="14"/>
                <w:szCs w:val="14"/>
                <w:lang w:eastAsia="de-DE"/>
              </w:rPr>
              <w:t xml:space="preserve"> </w:t>
            </w:r>
            <w:r>
              <w:rPr>
                <w:rFonts w:eastAsia="Times New Roman" w:cs="Arial"/>
                <w:color w:val="auto"/>
                <w:sz w:val="14"/>
                <w:szCs w:val="14"/>
                <w:lang w:eastAsia="de-DE"/>
              </w:rPr>
              <w:t xml:space="preserve">                                  0,41</w:t>
            </w:r>
            <w:r w:rsidR="00AF22F3" w:rsidRPr="004121D0">
              <w:rPr>
                <w:rFonts w:eastAsia="Times New Roman" w:cs="Arial"/>
                <w:color w:val="auto"/>
                <w:sz w:val="14"/>
                <w:szCs w:val="14"/>
                <w:lang w:eastAsia="de-DE"/>
              </w:rPr>
              <w:t xml:space="preserve"> €</w:t>
            </w:r>
          </w:p>
        </w:tc>
      </w:tr>
      <w:tr w:rsidR="00AF22F3" w:rsidRPr="004121D0" w14:paraId="1C78A0F6" w14:textId="77777777" w:rsidTr="00A257C9">
        <w:trPr>
          <w:trHeight w:val="159"/>
        </w:trPr>
        <w:tc>
          <w:tcPr>
            <w:tcW w:w="3337" w:type="dxa"/>
            <w:shd w:val="clear" w:color="auto" w:fill="auto"/>
          </w:tcPr>
          <w:p w14:paraId="3FADF9A5" w14:textId="7FA7D7D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Bosutinib, je 100 mg Tablette               </w:t>
            </w:r>
            <w:r>
              <w:rPr>
                <w:rFonts w:eastAsia="Times New Roman" w:cs="Arial"/>
                <w:color w:val="auto"/>
                <w:sz w:val="14"/>
                <w:szCs w:val="14"/>
                <w:lang w:eastAsia="de-DE"/>
              </w:rPr>
              <w:t xml:space="preserve"> </w:t>
            </w:r>
            <w:r w:rsidR="00A257C9">
              <w:rPr>
                <w:rFonts w:eastAsia="Times New Roman" w:cs="Arial"/>
                <w:color w:val="auto"/>
                <w:sz w:val="14"/>
                <w:szCs w:val="14"/>
                <w:lang w:eastAsia="de-DE"/>
              </w:rPr>
              <w:t xml:space="preserve">      14,42</w:t>
            </w:r>
            <w:r w:rsidRPr="004121D0">
              <w:rPr>
                <w:rFonts w:eastAsia="Times New Roman" w:cs="Arial"/>
                <w:color w:val="auto"/>
                <w:sz w:val="14"/>
                <w:szCs w:val="14"/>
                <w:lang w:eastAsia="de-DE"/>
              </w:rPr>
              <w:t xml:space="preserve"> €</w:t>
            </w:r>
          </w:p>
        </w:tc>
        <w:tc>
          <w:tcPr>
            <w:tcW w:w="3497" w:type="dxa"/>
            <w:shd w:val="clear" w:color="auto" w:fill="auto"/>
          </w:tcPr>
          <w:p w14:paraId="104EF381" w14:textId="3898B497"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Ixekizumab, je 80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1.272,00 €</w:t>
            </w:r>
          </w:p>
        </w:tc>
        <w:tc>
          <w:tcPr>
            <w:tcW w:w="3372" w:type="dxa"/>
            <w:shd w:val="clear" w:color="auto" w:fill="auto"/>
          </w:tcPr>
          <w:p w14:paraId="3FE0570F" w14:textId="2DB3E6C9"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Sofosbuvir, je 150/200/400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495,55 €</w:t>
            </w:r>
          </w:p>
        </w:tc>
      </w:tr>
      <w:tr w:rsidR="00AF22F3" w:rsidRPr="004121D0" w14:paraId="0AA0EBEB" w14:textId="77777777" w:rsidTr="00A257C9">
        <w:trPr>
          <w:trHeight w:val="159"/>
        </w:trPr>
        <w:tc>
          <w:tcPr>
            <w:tcW w:w="3337" w:type="dxa"/>
            <w:shd w:val="clear" w:color="auto" w:fill="auto"/>
          </w:tcPr>
          <w:p w14:paraId="6124AB8C" w14:textId="415337EC" w:rsidR="00AF22F3" w:rsidRPr="004121D0" w:rsidRDefault="00A257C9"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Brigatinib, je</w:t>
            </w:r>
            <w:r w:rsidR="00AF22F3" w:rsidRPr="004121D0">
              <w:rPr>
                <w:rFonts w:eastAsia="Times New Roman" w:cs="Arial"/>
                <w:color w:val="auto"/>
                <w:sz w:val="14"/>
                <w:szCs w:val="14"/>
                <w:lang w:eastAsia="de-DE"/>
              </w:rPr>
              <w:t xml:space="preserve"> mg          </w:t>
            </w:r>
            <w:r w:rsidR="00AF22F3">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00AF22F3"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1,13 </w:t>
            </w:r>
            <w:r w:rsidR="00AF22F3" w:rsidRPr="004121D0">
              <w:rPr>
                <w:rFonts w:eastAsia="Times New Roman" w:cs="Arial"/>
                <w:color w:val="auto"/>
                <w:sz w:val="14"/>
                <w:szCs w:val="14"/>
                <w:lang w:eastAsia="de-DE"/>
              </w:rPr>
              <w:t>€</w:t>
            </w:r>
          </w:p>
        </w:tc>
        <w:tc>
          <w:tcPr>
            <w:tcW w:w="3497" w:type="dxa"/>
            <w:shd w:val="clear" w:color="auto" w:fill="auto"/>
          </w:tcPr>
          <w:p w14:paraId="56D60D66" w14:textId="5554E2B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Lanadelumab, je mg                                        69,54 €</w:t>
            </w:r>
          </w:p>
        </w:tc>
        <w:tc>
          <w:tcPr>
            <w:tcW w:w="3372" w:type="dxa"/>
            <w:shd w:val="clear" w:color="auto" w:fill="auto"/>
          </w:tcPr>
          <w:p w14:paraId="6CCCDF57" w14:textId="69A976AC"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Sofosbuvir-Velpatasvir je Tbl.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344,64 €</w:t>
            </w:r>
          </w:p>
        </w:tc>
      </w:tr>
      <w:tr w:rsidR="00AF22F3" w:rsidRPr="004121D0" w14:paraId="5F9037E9" w14:textId="77777777" w:rsidTr="00A257C9">
        <w:trPr>
          <w:trHeight w:val="159"/>
        </w:trPr>
        <w:tc>
          <w:tcPr>
            <w:tcW w:w="3337" w:type="dxa"/>
            <w:shd w:val="clear" w:color="auto" w:fill="auto"/>
          </w:tcPr>
          <w:p w14:paraId="5AC3ADEB" w14:textId="55157CC9"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210 mg                              662,83 €</w:t>
            </w:r>
          </w:p>
        </w:tc>
        <w:tc>
          <w:tcPr>
            <w:tcW w:w="3497" w:type="dxa"/>
            <w:shd w:val="clear" w:color="auto" w:fill="auto"/>
          </w:tcPr>
          <w:p w14:paraId="1FF40530" w14:textId="348B5D5A"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Ledipasvir-Sofosbuvir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517,95 €</w:t>
            </w:r>
          </w:p>
        </w:tc>
        <w:tc>
          <w:tcPr>
            <w:tcW w:w="3372" w:type="dxa"/>
            <w:shd w:val="clear" w:color="auto" w:fill="auto"/>
          </w:tcPr>
          <w:p w14:paraId="6F77BCBB" w14:textId="253A9388"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Sofosbuvir-Velpatasvir-Voxialprevir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692,64 €</w:t>
            </w:r>
          </w:p>
        </w:tc>
      </w:tr>
      <w:tr w:rsidR="00AF22F3" w:rsidRPr="004121D0" w14:paraId="74A6A92F" w14:textId="77777777" w:rsidTr="00A257C9">
        <w:trPr>
          <w:trHeight w:val="159"/>
        </w:trPr>
        <w:tc>
          <w:tcPr>
            <w:tcW w:w="3337" w:type="dxa"/>
            <w:shd w:val="clear" w:color="auto" w:fill="auto"/>
          </w:tcPr>
          <w:p w14:paraId="5A639DB3" w14:textId="3461192A"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Cabozantinib, je 20/40/60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157,73</w:t>
            </w:r>
            <w:r w:rsidRPr="004121D0">
              <w:rPr>
                <w:rFonts w:eastAsia="Times New Roman" w:cs="Arial"/>
                <w:color w:val="auto"/>
                <w:sz w:val="14"/>
                <w:szCs w:val="14"/>
                <w:lang w:eastAsia="de-DE"/>
              </w:rPr>
              <w:t xml:space="preserve"> €</w:t>
            </w:r>
          </w:p>
        </w:tc>
        <w:tc>
          <w:tcPr>
            <w:tcW w:w="3497" w:type="dxa"/>
            <w:shd w:val="clear" w:color="auto" w:fill="auto"/>
          </w:tcPr>
          <w:p w14:paraId="3AA5C441" w14:textId="059307E1" w:rsidR="00AF22F3" w:rsidRPr="004121D0" w:rsidRDefault="00A257C9"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Lorlatinib, je</w:t>
            </w:r>
            <w:r w:rsidR="00AF22F3" w:rsidRPr="004121D0">
              <w:rPr>
                <w:rFonts w:eastAsia="Times New Roman" w:cs="Arial"/>
                <w:color w:val="auto"/>
                <w:sz w:val="14"/>
                <w:szCs w:val="14"/>
                <w:lang w:eastAsia="de-DE"/>
              </w:rPr>
              <w:t xml:space="preserve"> mg                                        </w:t>
            </w:r>
            <w:r w:rsidR="00AF22F3">
              <w:rPr>
                <w:rFonts w:eastAsia="Times New Roman" w:cs="Arial"/>
                <w:color w:val="auto"/>
                <w:sz w:val="14"/>
                <w:szCs w:val="14"/>
                <w:lang w:eastAsia="de-DE"/>
              </w:rPr>
              <w:t xml:space="preserve"> </w:t>
            </w:r>
            <w:r>
              <w:rPr>
                <w:rFonts w:eastAsia="Times New Roman" w:cs="Arial"/>
                <w:color w:val="auto"/>
                <w:sz w:val="14"/>
                <w:szCs w:val="14"/>
                <w:lang w:eastAsia="de-DE"/>
              </w:rPr>
              <w:t xml:space="preserve">        1,73</w:t>
            </w:r>
            <w:r w:rsidR="00AF22F3" w:rsidRPr="004121D0">
              <w:rPr>
                <w:rFonts w:eastAsia="Times New Roman" w:cs="Arial"/>
                <w:color w:val="auto"/>
                <w:sz w:val="14"/>
                <w:szCs w:val="14"/>
                <w:lang w:eastAsia="de-DE"/>
              </w:rPr>
              <w:t xml:space="preserve"> €</w:t>
            </w:r>
          </w:p>
        </w:tc>
        <w:tc>
          <w:tcPr>
            <w:tcW w:w="3372" w:type="dxa"/>
            <w:shd w:val="clear" w:color="auto" w:fill="auto"/>
          </w:tcPr>
          <w:p w14:paraId="0466BE7E" w14:textId="533A8339"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Sotrovimab, je mg                                           4,52 €</w:t>
            </w:r>
          </w:p>
        </w:tc>
      </w:tr>
      <w:tr w:rsidR="00AF22F3" w:rsidRPr="004121D0" w14:paraId="47794F54" w14:textId="77777777" w:rsidTr="00A257C9">
        <w:trPr>
          <w:trHeight w:val="159"/>
        </w:trPr>
        <w:tc>
          <w:tcPr>
            <w:tcW w:w="3337" w:type="dxa"/>
            <w:shd w:val="clear" w:color="auto" w:fill="auto"/>
          </w:tcPr>
          <w:p w14:paraId="3ABDC7BA" w14:textId="0C0F3A8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Canakinumab, je 150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13.576,50 €</w:t>
            </w:r>
          </w:p>
        </w:tc>
        <w:tc>
          <w:tcPr>
            <w:tcW w:w="3497" w:type="dxa"/>
            <w:shd w:val="clear" w:color="auto" w:fill="auto"/>
          </w:tcPr>
          <w:p w14:paraId="1DA3FB7F" w14:textId="659F9006"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Mepolizumab, je</w:t>
            </w:r>
            <w:r w:rsidRPr="004121D0">
              <w:rPr>
                <w:rFonts w:eastAsia="Times New Roman" w:cs="Arial"/>
                <w:color w:val="auto"/>
                <w:sz w:val="14"/>
                <w:szCs w:val="14"/>
                <w:lang w:eastAsia="de-DE"/>
              </w:rPr>
              <w:t xml:space="preserve"> mg      </w:t>
            </w:r>
            <w:r>
              <w:rPr>
                <w:rFonts w:eastAsia="Times New Roman" w:cs="Arial"/>
                <w:color w:val="auto"/>
                <w:sz w:val="14"/>
                <w:szCs w:val="14"/>
                <w:lang w:eastAsia="de-DE"/>
              </w:rPr>
              <w:t xml:space="preserve">                                  11,89</w:t>
            </w:r>
            <w:r w:rsidRPr="004121D0">
              <w:rPr>
                <w:rFonts w:eastAsia="Times New Roman" w:cs="Arial"/>
                <w:color w:val="auto"/>
                <w:sz w:val="14"/>
                <w:szCs w:val="14"/>
                <w:lang w:eastAsia="de-DE"/>
              </w:rPr>
              <w:t xml:space="preserve"> €</w:t>
            </w:r>
          </w:p>
        </w:tc>
        <w:tc>
          <w:tcPr>
            <w:tcW w:w="3372" w:type="dxa"/>
            <w:shd w:val="clear" w:color="auto" w:fill="auto"/>
          </w:tcPr>
          <w:p w14:paraId="36F3F135" w14:textId="0CC868D7"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Tildrakizumab, je 100/200 mg             </w:t>
            </w:r>
            <w:r w:rsidR="00ED105D">
              <w:rPr>
                <w:rFonts w:eastAsia="Times New Roman" w:cs="Arial"/>
                <w:color w:val="auto"/>
                <w:sz w:val="14"/>
                <w:szCs w:val="14"/>
                <w:lang w:eastAsia="de-DE"/>
              </w:rPr>
              <w:t xml:space="preserve">    3.023,46</w:t>
            </w:r>
            <w:r w:rsidRPr="004121D0">
              <w:rPr>
                <w:rFonts w:eastAsia="Times New Roman" w:cs="Arial"/>
                <w:color w:val="auto"/>
                <w:sz w:val="14"/>
                <w:szCs w:val="14"/>
                <w:lang w:eastAsia="de-DE"/>
              </w:rPr>
              <w:t xml:space="preserve"> €</w:t>
            </w:r>
          </w:p>
        </w:tc>
      </w:tr>
      <w:tr w:rsidR="00AF22F3" w:rsidRPr="004121D0" w14:paraId="1454741F" w14:textId="77777777" w:rsidTr="00A257C9">
        <w:trPr>
          <w:trHeight w:val="159"/>
        </w:trPr>
        <w:tc>
          <w:tcPr>
            <w:tcW w:w="3337" w:type="dxa"/>
            <w:shd w:val="clear" w:color="auto" w:fill="auto"/>
          </w:tcPr>
          <w:p w14:paraId="13E51186" w14:textId="3F45E1FA"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Ceritinib, je 150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58,50 €</w:t>
            </w:r>
          </w:p>
        </w:tc>
        <w:tc>
          <w:tcPr>
            <w:tcW w:w="3497" w:type="dxa"/>
            <w:shd w:val="clear" w:color="auto" w:fill="auto"/>
          </w:tcPr>
          <w:p w14:paraId="55DE0A82" w14:textId="356529F2"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Nirmatrelvier-Ritonavir, je 150 mg                   35,70 €</w:t>
            </w:r>
          </w:p>
        </w:tc>
        <w:tc>
          <w:tcPr>
            <w:tcW w:w="3372" w:type="dxa"/>
            <w:shd w:val="clear" w:color="auto" w:fill="auto"/>
          </w:tcPr>
          <w:p w14:paraId="42460C58" w14:textId="0C46794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Tixagevimab-Cilgavimab</w:t>
            </w:r>
            <w:r>
              <w:rPr>
                <w:rFonts w:eastAsia="Times New Roman" w:cs="Arial"/>
                <w:color w:val="auto"/>
                <w:sz w:val="14"/>
                <w:szCs w:val="14"/>
                <w:lang w:eastAsia="de-DE"/>
              </w:rPr>
              <w:t xml:space="preserve">, 150 mg        </w:t>
            </w:r>
            <w:r w:rsidR="00ED105D">
              <w:rPr>
                <w:rFonts w:eastAsia="Times New Roman" w:cs="Arial"/>
                <w:color w:val="auto"/>
                <w:sz w:val="14"/>
                <w:szCs w:val="14"/>
                <w:lang w:eastAsia="de-DE"/>
              </w:rPr>
              <w:t xml:space="preserve">      886,88</w:t>
            </w:r>
            <w:r w:rsidRPr="004121D0">
              <w:rPr>
                <w:rFonts w:eastAsia="Times New Roman" w:cs="Arial"/>
                <w:color w:val="auto"/>
                <w:sz w:val="14"/>
                <w:szCs w:val="14"/>
                <w:lang w:eastAsia="de-DE"/>
              </w:rPr>
              <w:t xml:space="preserve"> €</w:t>
            </w:r>
          </w:p>
        </w:tc>
      </w:tr>
      <w:tr w:rsidR="00AF22F3" w:rsidRPr="004121D0" w14:paraId="2992652C" w14:textId="77777777" w:rsidTr="00A257C9">
        <w:trPr>
          <w:trHeight w:val="159"/>
        </w:trPr>
        <w:tc>
          <w:tcPr>
            <w:tcW w:w="3337" w:type="dxa"/>
            <w:shd w:val="clear" w:color="auto" w:fill="auto"/>
          </w:tcPr>
          <w:p w14:paraId="06F78F2C" w14:textId="7163CABC"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Certolizumab, je 200 mg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sidR="00A257C9">
              <w:rPr>
                <w:rFonts w:eastAsia="Times New Roman" w:cs="Arial"/>
                <w:color w:val="auto"/>
                <w:sz w:val="14"/>
                <w:szCs w:val="14"/>
                <w:lang w:eastAsia="de-DE"/>
              </w:rPr>
              <w:t>435,86</w:t>
            </w:r>
            <w:r w:rsidRPr="004121D0">
              <w:rPr>
                <w:rFonts w:eastAsia="Times New Roman" w:cs="Arial"/>
                <w:color w:val="auto"/>
                <w:sz w:val="14"/>
                <w:szCs w:val="14"/>
                <w:lang w:eastAsia="de-DE"/>
              </w:rPr>
              <w:t xml:space="preserve"> €</w:t>
            </w:r>
          </w:p>
        </w:tc>
        <w:tc>
          <w:tcPr>
            <w:tcW w:w="3497" w:type="dxa"/>
            <w:shd w:val="clear" w:color="auto" w:fill="auto"/>
          </w:tcPr>
          <w:p w14:paraId="623C5084" w14:textId="0506F4BF"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Ofatumumab, je mg                                         62,26 €</w:t>
            </w:r>
          </w:p>
        </w:tc>
        <w:tc>
          <w:tcPr>
            <w:tcW w:w="3372" w:type="dxa"/>
            <w:shd w:val="clear" w:color="auto" w:fill="auto"/>
          </w:tcPr>
          <w:p w14:paraId="3EE9C75F" w14:textId="1D96EAE3"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Trifludirin-Tipiracil, je 15 mg / 6,14 mg         39,30 €</w:t>
            </w:r>
          </w:p>
        </w:tc>
      </w:tr>
      <w:tr w:rsidR="00AF22F3" w:rsidRPr="004121D0" w14:paraId="104BE6FF" w14:textId="77777777" w:rsidTr="00A257C9">
        <w:trPr>
          <w:trHeight w:val="159"/>
        </w:trPr>
        <w:tc>
          <w:tcPr>
            <w:tcW w:w="3337" w:type="dxa"/>
            <w:shd w:val="clear" w:color="auto" w:fill="auto"/>
          </w:tcPr>
          <w:p w14:paraId="704024C5" w14:textId="1A41C74F"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Crizotinib, je 200 mg        </w:t>
            </w:r>
            <w:r>
              <w:rPr>
                <w:rFonts w:eastAsia="Times New Roman" w:cs="Arial"/>
                <w:color w:val="auto"/>
                <w:sz w:val="14"/>
                <w:szCs w:val="14"/>
                <w:lang w:eastAsia="de-DE"/>
              </w:rPr>
              <w:t xml:space="preserve">                            69,50</w:t>
            </w:r>
            <w:r w:rsidRPr="004121D0">
              <w:rPr>
                <w:rFonts w:eastAsia="Times New Roman" w:cs="Arial"/>
                <w:color w:val="auto"/>
                <w:sz w:val="14"/>
                <w:szCs w:val="14"/>
                <w:lang w:eastAsia="de-DE"/>
              </w:rPr>
              <w:t xml:space="preserve"> €</w:t>
            </w:r>
          </w:p>
        </w:tc>
        <w:tc>
          <w:tcPr>
            <w:tcW w:w="3497" w:type="dxa"/>
            <w:shd w:val="clear" w:color="auto" w:fill="auto"/>
          </w:tcPr>
          <w:p w14:paraId="67CF86F6" w14:textId="109BB7C8"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Olaparib, je</w:t>
            </w:r>
            <w:r w:rsidRPr="004121D0">
              <w:rPr>
                <w:rFonts w:eastAsia="Times New Roman" w:cs="Arial"/>
                <w:color w:val="auto"/>
                <w:sz w:val="14"/>
                <w:szCs w:val="14"/>
                <w:lang w:eastAsia="de-DE"/>
              </w:rPr>
              <w:t xml:space="preserve"> mg                                        </w:t>
            </w:r>
            <w:r>
              <w:rPr>
                <w:rFonts w:eastAsia="Times New Roman" w:cs="Arial"/>
                <w:color w:val="auto"/>
                <w:sz w:val="14"/>
                <w:szCs w:val="14"/>
                <w:lang w:eastAsia="de-DE"/>
              </w:rPr>
              <w:t xml:space="preserve">        </w:t>
            </w:r>
            <w:r w:rsidR="00A257C9">
              <w:rPr>
                <w:rFonts w:eastAsia="Times New Roman" w:cs="Arial"/>
                <w:color w:val="auto"/>
                <w:sz w:val="14"/>
                <w:szCs w:val="14"/>
                <w:lang w:eastAsia="de-DE"/>
              </w:rPr>
              <w:t xml:space="preserve">  0,27</w:t>
            </w:r>
            <w:r w:rsidRPr="004121D0">
              <w:rPr>
                <w:rFonts w:eastAsia="Times New Roman" w:cs="Arial"/>
                <w:color w:val="auto"/>
                <w:sz w:val="14"/>
                <w:szCs w:val="14"/>
                <w:lang w:eastAsia="de-DE"/>
              </w:rPr>
              <w:t xml:space="preserve"> €</w:t>
            </w:r>
          </w:p>
        </w:tc>
        <w:tc>
          <w:tcPr>
            <w:tcW w:w="3372" w:type="dxa"/>
            <w:shd w:val="clear" w:color="auto" w:fill="auto"/>
          </w:tcPr>
          <w:p w14:paraId="1F796CB4" w14:textId="42F43A50"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Tremelimumab, je mg     </w:t>
            </w:r>
            <w:r w:rsidR="00ED105D">
              <w:rPr>
                <w:rFonts w:eastAsia="Times New Roman" w:cs="Arial"/>
                <w:color w:val="auto"/>
                <w:sz w:val="14"/>
                <w:szCs w:val="14"/>
                <w:lang w:eastAsia="de-DE"/>
              </w:rPr>
              <w:t xml:space="preserve">                              66,89</w:t>
            </w:r>
            <w:r>
              <w:rPr>
                <w:rFonts w:eastAsia="Times New Roman" w:cs="Arial"/>
                <w:color w:val="auto"/>
                <w:sz w:val="14"/>
                <w:szCs w:val="14"/>
                <w:lang w:eastAsia="de-DE"/>
              </w:rPr>
              <w:t xml:space="preserve"> €</w:t>
            </w:r>
          </w:p>
        </w:tc>
      </w:tr>
      <w:tr w:rsidR="00AF22F3" w:rsidRPr="004121D0" w14:paraId="2E09B5CB" w14:textId="77777777" w:rsidTr="00A257C9">
        <w:trPr>
          <w:trHeight w:val="159"/>
        </w:trPr>
        <w:tc>
          <w:tcPr>
            <w:tcW w:w="3337" w:type="dxa"/>
            <w:shd w:val="clear" w:color="auto" w:fill="auto"/>
          </w:tcPr>
          <w:p w14:paraId="4AE9818E" w14:textId="6887D878"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Dabrafenib, je 50 mg Kapsel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31,15 €</w:t>
            </w:r>
          </w:p>
        </w:tc>
        <w:tc>
          <w:tcPr>
            <w:tcW w:w="3497" w:type="dxa"/>
            <w:shd w:val="clear" w:color="auto" w:fill="auto"/>
          </w:tcPr>
          <w:p w14:paraId="7B1BF1E9" w14:textId="0EA33B40"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Osimertin</w:t>
            </w:r>
            <w:r>
              <w:rPr>
                <w:rFonts w:eastAsia="Times New Roman" w:cs="Arial"/>
                <w:color w:val="auto"/>
                <w:sz w:val="14"/>
                <w:szCs w:val="14"/>
                <w:lang w:eastAsia="de-DE"/>
              </w:rPr>
              <w:t xml:space="preserve">ib, je 40 mg o. 80 mg Tbl.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184,55 €</w:t>
            </w:r>
          </w:p>
        </w:tc>
        <w:tc>
          <w:tcPr>
            <w:tcW w:w="3372" w:type="dxa"/>
            <w:shd w:val="clear" w:color="auto" w:fill="auto"/>
          </w:tcPr>
          <w:p w14:paraId="7A1C62DD" w14:textId="2A41F9CE"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Zanamivir, intravenös je 200 mg                160,00 €</w:t>
            </w:r>
          </w:p>
        </w:tc>
      </w:tr>
      <w:tr w:rsidR="00AF22F3" w:rsidRPr="004121D0" w14:paraId="3A4C3EAB" w14:textId="77777777" w:rsidTr="00A257C9">
        <w:trPr>
          <w:trHeight w:val="159"/>
        </w:trPr>
        <w:tc>
          <w:tcPr>
            <w:tcW w:w="3337" w:type="dxa"/>
            <w:shd w:val="clear" w:color="auto" w:fill="auto"/>
          </w:tcPr>
          <w:p w14:paraId="458FE9D0" w14:textId="7494F713"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D</w:t>
            </w:r>
            <w:r>
              <w:rPr>
                <w:rFonts w:eastAsia="Times New Roman" w:cs="Arial"/>
                <w:color w:val="auto"/>
                <w:sz w:val="14"/>
                <w:szCs w:val="14"/>
                <w:lang w:eastAsia="de-DE"/>
              </w:rPr>
              <w:t>upil</w:t>
            </w:r>
            <w:r w:rsidRPr="00A51AD0">
              <w:rPr>
                <w:rFonts w:eastAsia="Times New Roman" w:cs="Arial"/>
                <w:color w:val="auto"/>
                <w:sz w:val="14"/>
                <w:szCs w:val="14"/>
                <w:lang w:eastAsia="de-DE"/>
              </w:rPr>
              <w:t>umab, je 200mg/300</w:t>
            </w:r>
            <w:r>
              <w:rPr>
                <w:rFonts w:eastAsia="Times New Roman" w:cs="Arial"/>
                <w:color w:val="auto"/>
                <w:sz w:val="14"/>
                <w:szCs w:val="14"/>
                <w:lang w:eastAsia="de-DE"/>
              </w:rPr>
              <w:t>mg</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00A257C9">
              <w:rPr>
                <w:rFonts w:eastAsia="Times New Roman" w:cs="Arial"/>
                <w:color w:val="auto"/>
                <w:sz w:val="14"/>
                <w:szCs w:val="14"/>
                <w:lang w:eastAsia="de-DE"/>
              </w:rPr>
              <w:t xml:space="preserve">  623,10</w:t>
            </w:r>
            <w:r w:rsidRPr="00A51AD0">
              <w:rPr>
                <w:rFonts w:eastAsia="Times New Roman" w:cs="Arial"/>
                <w:color w:val="auto"/>
                <w:sz w:val="14"/>
                <w:szCs w:val="14"/>
                <w:lang w:eastAsia="de-DE"/>
              </w:rPr>
              <w:t xml:space="preserve"> €</w:t>
            </w:r>
          </w:p>
        </w:tc>
        <w:tc>
          <w:tcPr>
            <w:tcW w:w="3497" w:type="dxa"/>
            <w:shd w:val="clear" w:color="auto" w:fill="auto"/>
          </w:tcPr>
          <w:p w14:paraId="3D09ABD3" w14:textId="55253976"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Palboc</w:t>
            </w:r>
            <w:r>
              <w:rPr>
                <w:rFonts w:eastAsia="Times New Roman" w:cs="Arial"/>
                <w:color w:val="auto"/>
                <w:sz w:val="14"/>
                <w:szCs w:val="14"/>
                <w:lang w:eastAsia="de-DE"/>
              </w:rPr>
              <w:t xml:space="preserve">iclib je 75/100/125 mg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00ED105D">
              <w:rPr>
                <w:rFonts w:eastAsia="Times New Roman" w:cs="Arial"/>
                <w:color w:val="auto"/>
                <w:sz w:val="14"/>
                <w:szCs w:val="14"/>
                <w:lang w:eastAsia="de-DE"/>
              </w:rPr>
              <w:t xml:space="preserve">  84,48</w:t>
            </w:r>
            <w:r w:rsidRPr="004121D0">
              <w:rPr>
                <w:rFonts w:eastAsia="Times New Roman" w:cs="Arial"/>
                <w:color w:val="auto"/>
                <w:sz w:val="14"/>
                <w:szCs w:val="14"/>
                <w:lang w:eastAsia="de-DE"/>
              </w:rPr>
              <w:t xml:space="preserve"> €</w:t>
            </w:r>
          </w:p>
        </w:tc>
        <w:tc>
          <w:tcPr>
            <w:tcW w:w="3372" w:type="dxa"/>
            <w:shd w:val="clear" w:color="auto" w:fill="auto"/>
          </w:tcPr>
          <w:p w14:paraId="3711A0A2" w14:textId="554F8EB1"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p>
        </w:tc>
      </w:tr>
      <w:tr w:rsidR="00AF22F3" w:rsidRPr="004121D0" w14:paraId="3A459F50" w14:textId="77777777" w:rsidTr="00A257C9">
        <w:trPr>
          <w:trHeight w:val="159"/>
        </w:trPr>
        <w:tc>
          <w:tcPr>
            <w:tcW w:w="3337" w:type="dxa"/>
            <w:shd w:val="clear" w:color="auto" w:fill="auto"/>
          </w:tcPr>
          <w:p w14:paraId="1A0CFB78" w14:textId="128A5966"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Elbasvir-Grazoprevir, je Tbl.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298,52 €</w:t>
            </w:r>
          </w:p>
        </w:tc>
        <w:tc>
          <w:tcPr>
            <w:tcW w:w="3497" w:type="dxa"/>
            <w:shd w:val="clear" w:color="auto" w:fill="auto"/>
          </w:tcPr>
          <w:p w14:paraId="7F17D9CC" w14:textId="1201B178"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Remdesivir, je</w:t>
            </w:r>
            <w:r>
              <w:rPr>
                <w:rFonts w:eastAsia="Times New Roman" w:cs="Arial"/>
                <w:color w:val="auto"/>
                <w:sz w:val="14"/>
                <w:szCs w:val="14"/>
                <w:lang w:eastAsia="de-DE"/>
              </w:rPr>
              <w:t xml:space="preserve"> mg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121D0">
              <w:rPr>
                <w:rFonts w:eastAsia="Times New Roman" w:cs="Arial"/>
                <w:color w:val="auto"/>
                <w:sz w:val="14"/>
                <w:szCs w:val="14"/>
                <w:lang w:eastAsia="de-DE"/>
              </w:rPr>
              <w:t xml:space="preserve">  4,11 €</w:t>
            </w:r>
          </w:p>
        </w:tc>
        <w:tc>
          <w:tcPr>
            <w:tcW w:w="3372" w:type="dxa"/>
            <w:shd w:val="clear" w:color="auto" w:fill="auto"/>
          </w:tcPr>
          <w:p w14:paraId="510B5195" w14:textId="634287F6"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p>
        </w:tc>
      </w:tr>
      <w:tr w:rsidR="00AF22F3" w:rsidRPr="004121D0" w14:paraId="4FF266B8" w14:textId="77777777" w:rsidTr="00A257C9">
        <w:trPr>
          <w:trHeight w:val="159"/>
        </w:trPr>
        <w:tc>
          <w:tcPr>
            <w:tcW w:w="3337" w:type="dxa"/>
            <w:shd w:val="clear" w:color="auto" w:fill="auto"/>
          </w:tcPr>
          <w:p w14:paraId="1BFDA644" w14:textId="0FC2988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Esketaminhydrochlorid, Spray, 28 mg    </w:t>
            </w:r>
            <w:r>
              <w:rPr>
                <w:rFonts w:eastAsia="Times New Roman" w:cs="Arial"/>
                <w:color w:val="auto"/>
                <w:sz w:val="14"/>
                <w:szCs w:val="14"/>
                <w:lang w:eastAsia="de-DE"/>
              </w:rPr>
              <w:t xml:space="preserve"> </w:t>
            </w:r>
            <w:r w:rsidR="00A257C9">
              <w:rPr>
                <w:rFonts w:eastAsia="Times New Roman" w:cs="Arial"/>
                <w:color w:val="auto"/>
                <w:sz w:val="14"/>
                <w:szCs w:val="14"/>
                <w:lang w:eastAsia="de-DE"/>
              </w:rPr>
              <w:t xml:space="preserve">  214,20</w:t>
            </w:r>
            <w:r w:rsidRPr="004121D0">
              <w:rPr>
                <w:rFonts w:eastAsia="Times New Roman" w:cs="Arial"/>
                <w:color w:val="auto"/>
                <w:sz w:val="14"/>
                <w:szCs w:val="14"/>
                <w:lang w:eastAsia="de-DE"/>
              </w:rPr>
              <w:t xml:space="preserve"> €             </w:t>
            </w:r>
          </w:p>
        </w:tc>
        <w:tc>
          <w:tcPr>
            <w:tcW w:w="3497" w:type="dxa"/>
            <w:shd w:val="clear" w:color="auto" w:fill="auto"/>
          </w:tcPr>
          <w:p w14:paraId="6CE04F40" w14:textId="50B0CE8B" w:rsidR="00AF22F3" w:rsidRPr="004121D0" w:rsidRDefault="00AF22F3" w:rsidP="00ED105D">
            <w:pPr>
              <w:widowControl w:val="0"/>
              <w:spacing w:after="0" w:line="240" w:lineRule="auto"/>
              <w:contextualSpacing/>
              <w:jc w:val="both"/>
              <w:rPr>
                <w:rFonts w:eastAsia="Times New Roman" w:cs="Arial"/>
                <w:color w:val="auto"/>
                <w:sz w:val="14"/>
                <w:szCs w:val="14"/>
                <w:lang w:eastAsia="de-DE"/>
              </w:rPr>
            </w:pPr>
            <w:r w:rsidRPr="004121D0">
              <w:rPr>
                <w:rFonts w:eastAsia="Times New Roman" w:cs="Arial"/>
                <w:color w:val="auto"/>
                <w:sz w:val="14"/>
                <w:szCs w:val="14"/>
                <w:lang w:eastAsia="de-DE"/>
              </w:rPr>
              <w:t>Risankizum</w:t>
            </w:r>
            <w:r w:rsidR="00ED105D">
              <w:rPr>
                <w:rFonts w:eastAsia="Times New Roman" w:cs="Arial"/>
                <w:color w:val="auto"/>
                <w:sz w:val="14"/>
                <w:szCs w:val="14"/>
                <w:lang w:eastAsia="de-DE"/>
              </w:rPr>
              <w:t>ab, je 150</w:t>
            </w:r>
            <w:r>
              <w:rPr>
                <w:rFonts w:eastAsia="Times New Roman" w:cs="Arial"/>
                <w:color w:val="auto"/>
                <w:sz w:val="14"/>
                <w:szCs w:val="14"/>
                <w:lang w:eastAsia="de-DE"/>
              </w:rPr>
              <w:t xml:space="preserve"> mg             </w:t>
            </w:r>
            <w:r w:rsidR="00ED105D">
              <w:rPr>
                <w:rFonts w:eastAsia="Times New Roman" w:cs="Arial"/>
                <w:color w:val="auto"/>
                <w:sz w:val="14"/>
                <w:szCs w:val="14"/>
                <w:lang w:eastAsia="de-DE"/>
              </w:rPr>
              <w:t xml:space="preserve">              4.176,42</w:t>
            </w:r>
            <w:r w:rsidRPr="004121D0">
              <w:rPr>
                <w:rFonts w:eastAsia="Times New Roman" w:cs="Arial"/>
                <w:color w:val="auto"/>
                <w:sz w:val="14"/>
                <w:szCs w:val="14"/>
                <w:lang w:eastAsia="de-DE"/>
              </w:rPr>
              <w:t xml:space="preserve"> €</w:t>
            </w:r>
          </w:p>
        </w:tc>
        <w:tc>
          <w:tcPr>
            <w:tcW w:w="3372" w:type="dxa"/>
            <w:shd w:val="clear" w:color="auto" w:fill="auto"/>
          </w:tcPr>
          <w:p w14:paraId="744D2E34" w14:textId="0A66E307"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p>
        </w:tc>
      </w:tr>
      <w:tr w:rsidR="00AF22F3" w:rsidRPr="004121D0" w14:paraId="4C64899C" w14:textId="77777777" w:rsidTr="00A257C9">
        <w:trPr>
          <w:trHeight w:val="159"/>
        </w:trPr>
        <w:tc>
          <w:tcPr>
            <w:tcW w:w="3337" w:type="dxa"/>
            <w:shd w:val="clear" w:color="auto" w:fill="auto"/>
          </w:tcPr>
          <w:p w14:paraId="215B74FE" w14:textId="6BDDE762"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Everolimus bei Neoplasie, je mg                   1,79 €</w:t>
            </w:r>
          </w:p>
        </w:tc>
        <w:tc>
          <w:tcPr>
            <w:tcW w:w="3497" w:type="dxa"/>
            <w:shd w:val="clear" w:color="auto" w:fill="auto"/>
          </w:tcPr>
          <w:p w14:paraId="4CA3E713" w14:textId="748C010D"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10/15/20mg                                67,55 €</w:t>
            </w:r>
          </w:p>
        </w:tc>
        <w:tc>
          <w:tcPr>
            <w:tcW w:w="3372" w:type="dxa"/>
            <w:shd w:val="clear" w:color="auto" w:fill="auto"/>
          </w:tcPr>
          <w:p w14:paraId="46E4A396" w14:textId="22B1FEEC" w:rsidR="00AF22F3" w:rsidRPr="004121D0" w:rsidRDefault="00AF22F3" w:rsidP="00AF22F3">
            <w:pPr>
              <w:widowControl w:val="0"/>
              <w:spacing w:after="0" w:line="240" w:lineRule="auto"/>
              <w:contextualSpacing/>
              <w:jc w:val="both"/>
              <w:rPr>
                <w:rFonts w:eastAsia="Times New Roman" w:cs="Arial"/>
                <w:color w:val="auto"/>
                <w:sz w:val="14"/>
                <w:szCs w:val="14"/>
                <w:lang w:eastAsia="de-DE"/>
              </w:rPr>
            </w:pPr>
          </w:p>
        </w:tc>
      </w:tr>
    </w:tbl>
    <w:p w14:paraId="47FFF086" w14:textId="77777777" w:rsidR="004121D0" w:rsidRPr="004121D0" w:rsidRDefault="004121D0" w:rsidP="004121D0">
      <w:pPr>
        <w:widowControl w:val="0"/>
        <w:spacing w:after="0" w:line="240" w:lineRule="auto"/>
        <w:contextualSpacing/>
        <w:jc w:val="both"/>
        <w:rPr>
          <w:rFonts w:eastAsia="Times New Roman" w:cs="Arial"/>
          <w:color w:val="auto"/>
          <w:sz w:val="14"/>
          <w:szCs w:val="14"/>
          <w:lang w:eastAsia="de-DE"/>
        </w:rPr>
      </w:pPr>
    </w:p>
    <w:p w14:paraId="40BB3021" w14:textId="77777777" w:rsidR="004121D0" w:rsidRPr="004121D0" w:rsidRDefault="004121D0" w:rsidP="004121D0">
      <w:pPr>
        <w:widowControl w:val="0"/>
        <w:spacing w:after="0" w:line="240" w:lineRule="auto"/>
        <w:contextualSpacing/>
        <w:jc w:val="both"/>
        <w:rPr>
          <w:rFonts w:eastAsia="Times New Roman" w:cs="Arial"/>
          <w:color w:val="auto"/>
          <w:sz w:val="14"/>
          <w:szCs w:val="14"/>
          <w:lang w:eastAsia="de-DE"/>
        </w:rPr>
      </w:pPr>
    </w:p>
    <w:p w14:paraId="68322798" w14:textId="77777777"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6. Zu- und Abschläge gem. § 7 BPflV  und sonstige Leistungen</w:t>
      </w:r>
    </w:p>
    <w:p w14:paraId="6725E89A"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Das Krankenhaus berechnet je voll- und teilstationären Krankenhausfall folgende:         </w:t>
      </w:r>
      <w:r w:rsidRPr="004121D0">
        <w:rPr>
          <w:rFonts w:eastAsia="Times New Roman" w:cs="Arial"/>
          <w:noProof/>
          <w:color w:val="auto"/>
          <w:sz w:val="14"/>
          <w:szCs w:val="14"/>
          <w:lang w:eastAsia="de-DE"/>
        </w:rPr>
        <w:tab/>
        <w:t xml:space="preserve">                 </w:t>
      </w:r>
    </w:p>
    <w:p w14:paraId="34595BD9" w14:textId="201CEA1B" w:rsidR="004121D0" w:rsidRPr="004121D0" w:rsidRDefault="004121D0" w:rsidP="004121D0">
      <w:pPr>
        <w:spacing w:after="0" w:line="240" w:lineRule="auto"/>
        <w:jc w:val="both"/>
        <w:rPr>
          <w:rFonts w:eastAsia="Times New Roman" w:cs="Arial"/>
          <w:b/>
          <w:noProof/>
          <w:color w:val="auto"/>
          <w:sz w:val="14"/>
          <w:szCs w:val="14"/>
          <w:lang w:eastAsia="de-DE"/>
        </w:rPr>
      </w:pPr>
      <w:r w:rsidRPr="004121D0">
        <w:rPr>
          <w:rFonts w:eastAsia="Times New Roman" w:cs="Arial"/>
          <w:b/>
          <w:noProof/>
          <w:color w:val="auto"/>
          <w:sz w:val="14"/>
          <w:szCs w:val="14"/>
          <w:lang w:eastAsia="de-DE"/>
        </w:rPr>
        <w:t>Zu- und Abschläge</w:t>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Pr="004121D0">
        <w:rPr>
          <w:rFonts w:eastAsia="Times New Roman" w:cs="Arial"/>
          <w:b/>
          <w:noProof/>
          <w:color w:val="auto"/>
          <w:sz w:val="14"/>
          <w:szCs w:val="14"/>
          <w:lang w:eastAsia="de-DE"/>
        </w:rPr>
        <w:tab/>
      </w:r>
      <w:r w:rsidR="00660058">
        <w:rPr>
          <w:rFonts w:eastAsia="Times New Roman" w:cs="Arial"/>
          <w:b/>
          <w:noProof/>
          <w:color w:val="FF0000"/>
          <w:sz w:val="14"/>
          <w:szCs w:val="14"/>
          <w:lang w:eastAsia="de-DE"/>
        </w:rPr>
        <w:t xml:space="preserve">           </w:t>
      </w:r>
      <w:r w:rsidRPr="004121D0">
        <w:rPr>
          <w:rFonts w:eastAsia="Times New Roman" w:cs="Arial"/>
          <w:b/>
          <w:noProof/>
          <w:color w:val="FF0000"/>
          <w:sz w:val="14"/>
          <w:szCs w:val="14"/>
          <w:lang w:eastAsia="de-DE"/>
        </w:rPr>
        <w:t xml:space="preserve">     </w:t>
      </w:r>
      <w:r w:rsidR="008456A5">
        <w:rPr>
          <w:rFonts w:eastAsia="Times New Roman" w:cs="Arial"/>
          <w:noProof/>
          <w:color w:val="FF0000"/>
          <w:sz w:val="14"/>
          <w:szCs w:val="14"/>
          <w:lang w:eastAsia="de-DE"/>
        </w:rPr>
        <w:t>ab: 01.</w:t>
      </w:r>
      <w:r w:rsidR="0017302D">
        <w:rPr>
          <w:rFonts w:eastAsia="Times New Roman" w:cs="Arial"/>
          <w:noProof/>
          <w:color w:val="FF0000"/>
          <w:sz w:val="14"/>
          <w:szCs w:val="14"/>
          <w:lang w:eastAsia="de-DE"/>
        </w:rPr>
        <w:t>10</w:t>
      </w:r>
      <w:r w:rsidRPr="004121D0">
        <w:rPr>
          <w:rFonts w:eastAsia="Times New Roman" w:cs="Arial"/>
          <w:noProof/>
          <w:color w:val="FF0000"/>
          <w:sz w:val="14"/>
          <w:szCs w:val="14"/>
          <w:lang w:eastAsia="de-DE"/>
        </w:rPr>
        <w:t>.202</w:t>
      </w:r>
      <w:r w:rsidR="009C2340">
        <w:rPr>
          <w:rFonts w:eastAsia="Times New Roman" w:cs="Arial"/>
          <w:noProof/>
          <w:color w:val="FF0000"/>
          <w:sz w:val="14"/>
          <w:szCs w:val="14"/>
          <w:lang w:eastAsia="de-DE"/>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0"/>
        <w:gridCol w:w="3376"/>
      </w:tblGrid>
      <w:tr w:rsidR="004121D0" w:rsidRPr="004121D0" w14:paraId="5A0A7788" w14:textId="77777777" w:rsidTr="00A257C9">
        <w:tc>
          <w:tcPr>
            <w:tcW w:w="6710" w:type="dxa"/>
            <w:shd w:val="clear" w:color="auto" w:fill="auto"/>
          </w:tcPr>
          <w:p w14:paraId="63256FFE" w14:textId="77777777" w:rsidR="004121D0" w:rsidRPr="004121D0" w:rsidRDefault="004121D0" w:rsidP="004121D0">
            <w:pPr>
              <w:spacing w:after="0" w:line="240" w:lineRule="auto"/>
              <w:jc w:val="both"/>
              <w:rPr>
                <w:rFonts w:eastAsia="Times New Roman" w:cs="Arial"/>
                <w:b/>
                <w:noProof/>
                <w:color w:val="auto"/>
                <w:sz w:val="14"/>
                <w:szCs w:val="14"/>
                <w:lang w:eastAsia="de-DE"/>
              </w:rPr>
            </w:pPr>
            <w:r w:rsidRPr="004121D0">
              <w:rPr>
                <w:rFonts w:eastAsia="Times New Roman" w:cs="Arial"/>
                <w:noProof/>
                <w:color w:val="auto"/>
                <w:sz w:val="14"/>
                <w:szCs w:val="14"/>
                <w:lang w:eastAsia="de-DE"/>
              </w:rPr>
              <w:t xml:space="preserve">DRG-Systemzuschlag                                                                                              </w:t>
            </w:r>
          </w:p>
        </w:tc>
        <w:tc>
          <w:tcPr>
            <w:tcW w:w="3376" w:type="dxa"/>
            <w:shd w:val="clear" w:color="auto" w:fill="auto"/>
          </w:tcPr>
          <w:p w14:paraId="2E464D26" w14:textId="5BE87F1F" w:rsidR="004121D0" w:rsidRPr="004121D0" w:rsidRDefault="009C2340" w:rsidP="004121D0">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1,7</w:t>
            </w:r>
            <w:r w:rsidR="004121D0" w:rsidRPr="004121D0">
              <w:rPr>
                <w:rFonts w:eastAsia="Times New Roman" w:cs="Arial"/>
                <w:noProof/>
                <w:color w:val="FF0000"/>
                <w:sz w:val="14"/>
                <w:szCs w:val="14"/>
                <w:lang w:eastAsia="de-DE"/>
              </w:rPr>
              <w:t>3 Euro</w:t>
            </w:r>
          </w:p>
        </w:tc>
      </w:tr>
      <w:tr w:rsidR="004121D0" w:rsidRPr="004121D0" w14:paraId="1ED6E757" w14:textId="77777777" w:rsidTr="00A257C9">
        <w:tc>
          <w:tcPr>
            <w:tcW w:w="6710" w:type="dxa"/>
            <w:shd w:val="clear" w:color="auto" w:fill="auto"/>
          </w:tcPr>
          <w:p w14:paraId="5E98763E" w14:textId="77777777" w:rsidR="004121D0" w:rsidRPr="004121D0" w:rsidRDefault="004121D0" w:rsidP="004121D0">
            <w:pPr>
              <w:spacing w:after="0" w:line="240" w:lineRule="auto"/>
              <w:jc w:val="both"/>
              <w:rPr>
                <w:rFonts w:eastAsia="Times New Roman" w:cs="Arial"/>
                <w:b/>
                <w:noProof/>
                <w:color w:val="auto"/>
                <w:sz w:val="14"/>
                <w:szCs w:val="14"/>
                <w:lang w:eastAsia="de-DE"/>
              </w:rPr>
            </w:pPr>
            <w:r w:rsidRPr="004121D0">
              <w:rPr>
                <w:rFonts w:eastAsia="Times New Roman" w:cs="Arial"/>
                <w:noProof/>
                <w:color w:val="auto"/>
                <w:sz w:val="14"/>
                <w:szCs w:val="14"/>
                <w:lang w:eastAsia="de-DE"/>
              </w:rPr>
              <w:t>G-BA-Systemzuschlag §§ 91, 139c (1) SGB V</w:t>
            </w:r>
          </w:p>
        </w:tc>
        <w:tc>
          <w:tcPr>
            <w:tcW w:w="3376" w:type="dxa"/>
            <w:shd w:val="clear" w:color="auto" w:fill="auto"/>
          </w:tcPr>
          <w:p w14:paraId="19FD2090" w14:textId="12E73B87" w:rsidR="004121D0" w:rsidRPr="004121D0" w:rsidRDefault="001F23B5" w:rsidP="004121D0">
            <w:pPr>
              <w:spacing w:after="0" w:line="240" w:lineRule="auto"/>
              <w:jc w:val="right"/>
              <w:rPr>
                <w:rFonts w:eastAsia="Times New Roman" w:cs="Arial"/>
                <w:noProof/>
                <w:color w:val="0070C0"/>
                <w:sz w:val="14"/>
                <w:szCs w:val="14"/>
                <w:lang w:eastAsia="de-DE"/>
              </w:rPr>
            </w:pPr>
            <w:r>
              <w:rPr>
                <w:rFonts w:eastAsia="Times New Roman" w:cs="Arial"/>
                <w:noProof/>
                <w:color w:val="FF0000"/>
                <w:sz w:val="14"/>
                <w:szCs w:val="14"/>
                <w:lang w:eastAsia="de-DE"/>
              </w:rPr>
              <w:t>3,17</w:t>
            </w:r>
            <w:r w:rsidR="004121D0" w:rsidRPr="004121D0">
              <w:rPr>
                <w:rFonts w:eastAsia="Times New Roman" w:cs="Arial"/>
                <w:noProof/>
                <w:color w:val="FF0000"/>
                <w:sz w:val="14"/>
                <w:szCs w:val="14"/>
                <w:lang w:eastAsia="de-DE"/>
              </w:rPr>
              <w:t xml:space="preserve"> Euro</w:t>
            </w:r>
          </w:p>
        </w:tc>
      </w:tr>
      <w:tr w:rsidR="004121D0" w:rsidRPr="004121D0" w14:paraId="4529B154" w14:textId="77777777" w:rsidTr="00A257C9">
        <w:tc>
          <w:tcPr>
            <w:tcW w:w="6710" w:type="dxa"/>
            <w:shd w:val="clear" w:color="auto" w:fill="auto"/>
          </w:tcPr>
          <w:p w14:paraId="3575C2D5" w14:textId="77777777" w:rsidR="004121D0" w:rsidRPr="004121D0" w:rsidRDefault="004121D0" w:rsidP="004121D0">
            <w:pPr>
              <w:spacing w:after="0" w:line="240" w:lineRule="auto"/>
              <w:jc w:val="both"/>
              <w:rPr>
                <w:rFonts w:eastAsia="Times New Roman" w:cs="Arial"/>
                <w:b/>
                <w:noProof/>
                <w:color w:val="auto"/>
                <w:sz w:val="14"/>
                <w:szCs w:val="14"/>
                <w:lang w:eastAsia="de-DE"/>
              </w:rPr>
            </w:pPr>
            <w:r w:rsidRPr="004121D0">
              <w:rPr>
                <w:rFonts w:eastAsia="Times New Roman" w:cs="Arial"/>
                <w:noProof/>
                <w:color w:val="auto"/>
                <w:sz w:val="14"/>
                <w:szCs w:val="14"/>
                <w:lang w:eastAsia="de-DE"/>
              </w:rPr>
              <w:t xml:space="preserve">Qualitätssicherungszuschlag nur bei </w:t>
            </w:r>
            <w:r w:rsidRPr="004121D0">
              <w:rPr>
                <w:rFonts w:eastAsia="Times New Roman" w:cs="Arial"/>
                <w:b/>
                <w:noProof/>
                <w:color w:val="auto"/>
                <w:sz w:val="14"/>
                <w:szCs w:val="14"/>
                <w:lang w:eastAsia="de-DE"/>
              </w:rPr>
              <w:t>voll</w:t>
            </w:r>
            <w:r w:rsidRPr="004121D0">
              <w:rPr>
                <w:rFonts w:eastAsia="Times New Roman" w:cs="Arial"/>
                <w:noProof/>
                <w:color w:val="auto"/>
                <w:sz w:val="14"/>
                <w:szCs w:val="14"/>
                <w:lang w:eastAsia="de-DE"/>
              </w:rPr>
              <w:t>stationärer KH-Behandung</w:t>
            </w:r>
          </w:p>
        </w:tc>
        <w:tc>
          <w:tcPr>
            <w:tcW w:w="3376" w:type="dxa"/>
            <w:shd w:val="clear" w:color="auto" w:fill="auto"/>
          </w:tcPr>
          <w:p w14:paraId="01C03123" w14:textId="38EBE7F1" w:rsidR="004121D0" w:rsidRPr="004121D0" w:rsidRDefault="009C2340" w:rsidP="004121D0">
            <w:pPr>
              <w:spacing w:after="0" w:line="240" w:lineRule="auto"/>
              <w:jc w:val="right"/>
              <w:rPr>
                <w:rFonts w:eastAsia="Times New Roman" w:cs="Arial"/>
                <w:noProof/>
                <w:color w:val="0070C0"/>
                <w:sz w:val="14"/>
                <w:szCs w:val="14"/>
                <w:lang w:eastAsia="de-DE"/>
              </w:rPr>
            </w:pPr>
            <w:r>
              <w:rPr>
                <w:rFonts w:eastAsia="Times New Roman" w:cs="Arial"/>
                <w:noProof/>
                <w:color w:val="FF0000"/>
                <w:sz w:val="14"/>
                <w:szCs w:val="14"/>
                <w:lang w:eastAsia="de-DE"/>
              </w:rPr>
              <w:t>0,86</w:t>
            </w:r>
            <w:r w:rsidR="004121D0" w:rsidRPr="004121D0">
              <w:rPr>
                <w:rFonts w:eastAsia="Times New Roman" w:cs="Arial"/>
                <w:noProof/>
                <w:color w:val="FF0000"/>
                <w:sz w:val="14"/>
                <w:szCs w:val="14"/>
                <w:lang w:eastAsia="de-DE"/>
              </w:rPr>
              <w:t xml:space="preserve"> Euro</w:t>
            </w:r>
          </w:p>
        </w:tc>
      </w:tr>
      <w:tr w:rsidR="004121D0" w:rsidRPr="004121D0" w14:paraId="500BC26B" w14:textId="77777777" w:rsidTr="00A257C9">
        <w:tc>
          <w:tcPr>
            <w:tcW w:w="6710" w:type="dxa"/>
            <w:shd w:val="clear" w:color="auto" w:fill="auto"/>
          </w:tcPr>
          <w:p w14:paraId="6B84C466" w14:textId="0F34293C" w:rsidR="004121D0" w:rsidRPr="004121D0" w:rsidRDefault="004121D0" w:rsidP="004121D0">
            <w:pPr>
              <w:spacing w:after="0" w:line="240" w:lineRule="auto"/>
              <w:jc w:val="both"/>
              <w:rPr>
                <w:rFonts w:eastAsia="Times New Roman" w:cs="Arial"/>
                <w:b/>
                <w:noProof/>
                <w:color w:val="auto"/>
                <w:sz w:val="14"/>
                <w:szCs w:val="14"/>
                <w:lang w:eastAsia="de-DE"/>
              </w:rPr>
            </w:pPr>
            <w:r w:rsidRPr="004121D0">
              <w:rPr>
                <w:rFonts w:eastAsia="Times New Roman" w:cs="Arial"/>
                <w:noProof/>
                <w:color w:val="auto"/>
                <w:sz w:val="14"/>
                <w:szCs w:val="14"/>
                <w:lang w:eastAsia="de-DE"/>
              </w:rPr>
              <w:t>Ausbildun</w:t>
            </w:r>
            <w:r w:rsidR="00D3538F">
              <w:rPr>
                <w:rFonts w:eastAsia="Times New Roman" w:cs="Arial"/>
                <w:noProof/>
                <w:color w:val="auto"/>
                <w:sz w:val="14"/>
                <w:szCs w:val="14"/>
                <w:lang w:eastAsia="de-DE"/>
              </w:rPr>
              <w:t>gszuschlag – landesweit ab 01.01</w:t>
            </w:r>
            <w:r w:rsidRPr="004121D0">
              <w:rPr>
                <w:rFonts w:eastAsia="Times New Roman" w:cs="Arial"/>
                <w:noProof/>
                <w:color w:val="auto"/>
                <w:sz w:val="14"/>
                <w:szCs w:val="14"/>
                <w:lang w:eastAsia="de-DE"/>
              </w:rPr>
              <w:t>.202</w:t>
            </w:r>
            <w:r w:rsidR="00D3538F">
              <w:rPr>
                <w:rFonts w:eastAsia="Times New Roman" w:cs="Arial"/>
                <w:noProof/>
                <w:color w:val="auto"/>
                <w:sz w:val="14"/>
                <w:szCs w:val="14"/>
                <w:lang w:eastAsia="de-DE"/>
              </w:rPr>
              <w:t>5</w:t>
            </w:r>
          </w:p>
        </w:tc>
        <w:tc>
          <w:tcPr>
            <w:tcW w:w="3376" w:type="dxa"/>
            <w:shd w:val="clear" w:color="auto" w:fill="auto"/>
          </w:tcPr>
          <w:p w14:paraId="5F6F6893" w14:textId="0BA68950" w:rsidR="004121D0" w:rsidRPr="004121D0" w:rsidRDefault="004121D0" w:rsidP="009C2340">
            <w:pPr>
              <w:spacing w:after="0" w:line="240" w:lineRule="auto"/>
              <w:jc w:val="right"/>
              <w:rPr>
                <w:rFonts w:eastAsia="Times New Roman" w:cs="Arial"/>
                <w:noProof/>
                <w:color w:val="0070C0"/>
                <w:sz w:val="14"/>
                <w:szCs w:val="14"/>
                <w:lang w:eastAsia="de-DE"/>
              </w:rPr>
            </w:pPr>
            <w:r w:rsidRPr="004121D0">
              <w:rPr>
                <w:rFonts w:eastAsia="Times New Roman" w:cs="Arial"/>
                <w:noProof/>
                <w:color w:val="0070C0"/>
                <w:sz w:val="14"/>
                <w:szCs w:val="14"/>
                <w:lang w:eastAsia="de-DE"/>
              </w:rPr>
              <w:t xml:space="preserve"> </w:t>
            </w:r>
            <w:r w:rsidR="009C2340">
              <w:rPr>
                <w:rFonts w:eastAsia="Times New Roman" w:cs="Arial"/>
                <w:noProof/>
                <w:color w:val="FF0000"/>
                <w:sz w:val="14"/>
                <w:szCs w:val="14"/>
                <w:lang w:eastAsia="de-DE"/>
              </w:rPr>
              <w:t>52,01</w:t>
            </w:r>
            <w:r w:rsidRPr="004121D0">
              <w:rPr>
                <w:rFonts w:eastAsia="Times New Roman" w:cs="Arial"/>
                <w:noProof/>
                <w:color w:val="FF0000"/>
                <w:sz w:val="14"/>
                <w:szCs w:val="14"/>
                <w:lang w:eastAsia="de-DE"/>
              </w:rPr>
              <w:t xml:space="preserve"> Euro</w:t>
            </w:r>
          </w:p>
        </w:tc>
      </w:tr>
      <w:tr w:rsidR="004121D0" w:rsidRPr="004121D0" w14:paraId="3CE33E04" w14:textId="77777777" w:rsidTr="00A257C9">
        <w:tc>
          <w:tcPr>
            <w:tcW w:w="6710" w:type="dxa"/>
            <w:shd w:val="clear" w:color="auto" w:fill="auto"/>
          </w:tcPr>
          <w:p w14:paraId="6E2E55BD" w14:textId="57DB93C2"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Ausbildungszuschlag gem. § 33 P</w:t>
            </w:r>
            <w:r w:rsidR="00D3538F">
              <w:rPr>
                <w:rFonts w:eastAsia="Times New Roman" w:cs="Arial"/>
                <w:noProof/>
                <w:color w:val="auto"/>
                <w:sz w:val="14"/>
                <w:szCs w:val="14"/>
                <w:lang w:eastAsia="de-DE"/>
              </w:rPr>
              <w:t xml:space="preserve">flBG für Aufnahme ab 01.01.2025 </w:t>
            </w:r>
            <w:r w:rsidRPr="004121D0">
              <w:rPr>
                <w:rFonts w:eastAsia="Times New Roman" w:cs="Arial"/>
                <w:noProof/>
                <w:color w:val="auto"/>
                <w:sz w:val="14"/>
                <w:szCs w:val="14"/>
                <w:lang w:eastAsia="de-DE"/>
              </w:rPr>
              <w:t>je voll-/teilstationären Krankenhausfall</w:t>
            </w:r>
          </w:p>
        </w:tc>
        <w:tc>
          <w:tcPr>
            <w:tcW w:w="3376" w:type="dxa"/>
            <w:shd w:val="clear" w:color="auto" w:fill="auto"/>
          </w:tcPr>
          <w:p w14:paraId="029C2FD2" w14:textId="08D59317" w:rsidR="004121D0" w:rsidRPr="004121D0" w:rsidRDefault="00962509" w:rsidP="004121D0">
            <w:pPr>
              <w:spacing w:after="0" w:line="240" w:lineRule="auto"/>
              <w:jc w:val="right"/>
              <w:rPr>
                <w:rFonts w:eastAsia="Times New Roman" w:cs="Arial"/>
                <w:noProof/>
                <w:color w:val="0070C0"/>
                <w:sz w:val="14"/>
                <w:szCs w:val="14"/>
                <w:lang w:eastAsia="de-DE"/>
              </w:rPr>
            </w:pPr>
            <w:r>
              <w:rPr>
                <w:rFonts w:eastAsia="Times New Roman" w:cs="Arial"/>
                <w:noProof/>
                <w:color w:val="FF0000"/>
                <w:sz w:val="14"/>
                <w:szCs w:val="14"/>
                <w:lang w:eastAsia="de-DE"/>
              </w:rPr>
              <w:t>126,76</w:t>
            </w:r>
            <w:r w:rsidR="004121D0" w:rsidRPr="004121D0">
              <w:rPr>
                <w:rFonts w:eastAsia="Times New Roman" w:cs="Arial"/>
                <w:noProof/>
                <w:color w:val="FF0000"/>
                <w:sz w:val="14"/>
                <w:szCs w:val="14"/>
                <w:lang w:eastAsia="de-DE"/>
              </w:rPr>
              <w:t xml:space="preserve"> Euro</w:t>
            </w:r>
          </w:p>
        </w:tc>
      </w:tr>
      <w:tr w:rsidR="004121D0" w:rsidRPr="004121D0" w14:paraId="5DA9EBD9" w14:textId="77777777" w:rsidTr="00A257C9">
        <w:tc>
          <w:tcPr>
            <w:tcW w:w="6710" w:type="dxa"/>
            <w:shd w:val="clear" w:color="auto" w:fill="auto"/>
          </w:tcPr>
          <w:p w14:paraId="74CEF82B"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Telematikzuschlag nach § 377 Abs. 1 und 2 SGB V je voll-/teilstationären Krankenhausfall </w:t>
            </w:r>
          </w:p>
        </w:tc>
        <w:tc>
          <w:tcPr>
            <w:tcW w:w="3376" w:type="dxa"/>
            <w:shd w:val="clear" w:color="auto" w:fill="auto"/>
          </w:tcPr>
          <w:p w14:paraId="43137CDC" w14:textId="598DE6FB" w:rsidR="004121D0" w:rsidRPr="004121D0" w:rsidRDefault="004121D0" w:rsidP="0017302D">
            <w:pPr>
              <w:spacing w:after="0" w:line="240" w:lineRule="auto"/>
              <w:jc w:val="center"/>
              <w:rPr>
                <w:rFonts w:eastAsia="Times New Roman" w:cs="Arial"/>
                <w:noProof/>
                <w:color w:val="FF0000"/>
                <w:sz w:val="14"/>
                <w:szCs w:val="14"/>
                <w:highlight w:val="yellow"/>
                <w:lang w:eastAsia="de-DE"/>
              </w:rPr>
            </w:pPr>
            <w:r w:rsidRPr="004121D0">
              <w:rPr>
                <w:rFonts w:eastAsia="Times New Roman" w:cs="Arial"/>
                <w:noProof/>
                <w:color w:val="FF0000"/>
                <w:sz w:val="14"/>
                <w:szCs w:val="14"/>
                <w:lang w:eastAsia="de-DE"/>
              </w:rPr>
              <w:t xml:space="preserve">                             </w:t>
            </w:r>
            <w:r w:rsidR="0017302D">
              <w:rPr>
                <w:rFonts w:eastAsia="Times New Roman" w:cs="Arial"/>
                <w:noProof/>
                <w:color w:val="FF0000"/>
                <w:sz w:val="14"/>
                <w:szCs w:val="14"/>
                <w:lang w:eastAsia="de-DE"/>
              </w:rPr>
              <w:t xml:space="preserve"> </w:t>
            </w:r>
            <w:r w:rsidR="001F23B5">
              <w:rPr>
                <w:rFonts w:eastAsia="Times New Roman" w:cs="Arial"/>
                <w:noProof/>
                <w:color w:val="FF0000"/>
                <w:sz w:val="14"/>
                <w:szCs w:val="14"/>
                <w:lang w:eastAsia="de-DE"/>
              </w:rPr>
              <w:t xml:space="preserve">                          </w:t>
            </w:r>
            <w:r w:rsidRPr="004121D0">
              <w:rPr>
                <w:rFonts w:eastAsia="Times New Roman" w:cs="Arial"/>
                <w:noProof/>
                <w:color w:val="FF0000"/>
                <w:sz w:val="14"/>
                <w:szCs w:val="14"/>
                <w:lang w:eastAsia="de-DE"/>
              </w:rPr>
              <w:t xml:space="preserve">    </w:t>
            </w:r>
            <w:r w:rsidR="001F23B5">
              <w:rPr>
                <w:rFonts w:eastAsia="Times New Roman" w:cs="Arial"/>
                <w:noProof/>
                <w:color w:val="FF0000"/>
                <w:sz w:val="14"/>
                <w:szCs w:val="14"/>
                <w:lang w:eastAsia="de-DE"/>
              </w:rPr>
              <w:t xml:space="preserve"> </w:t>
            </w:r>
            <w:r w:rsidR="0017302D">
              <w:rPr>
                <w:rFonts w:eastAsia="Times New Roman" w:cs="Arial"/>
                <w:noProof/>
                <w:color w:val="FF0000"/>
                <w:sz w:val="14"/>
                <w:szCs w:val="14"/>
                <w:lang w:eastAsia="de-DE"/>
              </w:rPr>
              <w:t xml:space="preserve">187,65 </w:t>
            </w:r>
            <w:r w:rsidRPr="004121D0">
              <w:rPr>
                <w:rFonts w:eastAsia="Times New Roman" w:cs="Arial"/>
                <w:noProof/>
                <w:color w:val="FF0000"/>
                <w:sz w:val="14"/>
                <w:szCs w:val="14"/>
                <w:lang w:eastAsia="de-DE"/>
              </w:rPr>
              <w:t>Euro</w:t>
            </w:r>
          </w:p>
        </w:tc>
      </w:tr>
    </w:tbl>
    <w:p w14:paraId="5AC9BB32" w14:textId="77777777" w:rsidR="004121D0" w:rsidRPr="004121D0" w:rsidRDefault="004121D0" w:rsidP="004121D0">
      <w:pPr>
        <w:spacing w:after="0" w:line="240" w:lineRule="auto"/>
        <w:rPr>
          <w:rFonts w:eastAsia="Times New Roman" w:cs="Arial"/>
          <w:b/>
          <w:noProof/>
          <w:color w:val="auto"/>
          <w:sz w:val="14"/>
          <w:szCs w:val="14"/>
          <w:highlight w:val="lightGray"/>
          <w:u w:val="single"/>
          <w:lang w:eastAsia="de-DE"/>
        </w:rPr>
      </w:pPr>
    </w:p>
    <w:p w14:paraId="081F656D" w14:textId="77777777" w:rsidR="004121D0" w:rsidRPr="004121D0" w:rsidRDefault="004121D0" w:rsidP="004121D0">
      <w:pPr>
        <w:spacing w:after="0" w:line="240" w:lineRule="auto"/>
        <w:rPr>
          <w:rFonts w:eastAsia="Times New Roman" w:cs="Arial"/>
          <w:b/>
          <w:noProof/>
          <w:color w:val="auto"/>
          <w:sz w:val="14"/>
          <w:szCs w:val="14"/>
          <w:u w:val="single"/>
          <w:lang w:eastAsia="de-DE"/>
        </w:rPr>
      </w:pPr>
      <w:r w:rsidRPr="004121D0">
        <w:rPr>
          <w:rFonts w:eastAsia="Times New Roman" w:cs="Arial"/>
          <w:b/>
          <w:noProof/>
          <w:color w:val="auto"/>
          <w:sz w:val="14"/>
          <w:szCs w:val="14"/>
          <w:highlight w:val="lightGray"/>
          <w:u w:val="single"/>
          <w:lang w:eastAsia="de-DE"/>
        </w:rPr>
        <w:t>6.a  Zusatzentgelte für Testung auf Infektion mit dem Coronavirus SARS-CoV-2 gemäß der Vereinbarung nach § 26 Abs. 2 KHG</w:t>
      </w:r>
    </w:p>
    <w:p w14:paraId="3782CE88"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Für Kosten, die dem Krankenhaus für Testungen von Patientinnen und Patienten, die zur voll- oder teilstationären Krankenhausbehandlung in das Krankenhaus aufgenommen wurden, auf eine Infektion mit dem Coronavirus SARS-CoV-2 entstehen, rechnet das Krankenhaus auf Grund der Vereinbarung nach § 26 Abs. 2 KHG gesondert folgende Zusatzentgelte ab:</w:t>
      </w:r>
    </w:p>
    <w:p w14:paraId="3039F945" w14:textId="77777777" w:rsidR="004121D0" w:rsidRPr="004121D0" w:rsidRDefault="004121D0" w:rsidP="004121D0">
      <w:pPr>
        <w:widowControl w:val="0"/>
        <w:numPr>
          <w:ilvl w:val="0"/>
          <w:numId w:val="4"/>
        </w:numPr>
        <w:autoSpaceDE w:val="0"/>
        <w:autoSpaceDN w:val="0"/>
        <w:adjustRightInd w:val="0"/>
        <w:spacing w:after="0" w:line="240" w:lineRule="auto"/>
        <w:contextualSpacing/>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PCR-Test ab dem 01.05.2023 = 30,40 €</w:t>
      </w:r>
    </w:p>
    <w:p w14:paraId="3B1C98F2" w14:textId="77777777" w:rsidR="004121D0" w:rsidRPr="004121D0" w:rsidRDefault="004121D0" w:rsidP="004121D0">
      <w:pPr>
        <w:widowControl w:val="0"/>
        <w:numPr>
          <w:ilvl w:val="0"/>
          <w:numId w:val="4"/>
        </w:numPr>
        <w:autoSpaceDE w:val="0"/>
        <w:autoSpaceDN w:val="0"/>
        <w:adjustRightInd w:val="0"/>
        <w:spacing w:after="0" w:line="240" w:lineRule="auto"/>
        <w:contextualSpacing/>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Antigen-Test (Schnelltest) ab dem 01.08.2021 = 11,50 €.</w:t>
      </w:r>
    </w:p>
    <w:p w14:paraId="404B8BF1" w14:textId="7B40BE73" w:rsidR="00A77C26" w:rsidRDefault="00A77C26" w:rsidP="004121D0">
      <w:pPr>
        <w:spacing w:after="0" w:line="240" w:lineRule="auto"/>
        <w:rPr>
          <w:rFonts w:eastAsia="Times New Roman" w:cs="Arial"/>
          <w:b/>
          <w:noProof/>
          <w:color w:val="auto"/>
          <w:sz w:val="14"/>
          <w:szCs w:val="14"/>
          <w:highlight w:val="lightGray"/>
          <w:u w:val="single"/>
          <w:lang w:eastAsia="de-DE"/>
        </w:rPr>
      </w:pPr>
    </w:p>
    <w:p w14:paraId="7DD747F8" w14:textId="2198040C" w:rsidR="00385A2C" w:rsidRDefault="00385A2C" w:rsidP="004121D0">
      <w:pPr>
        <w:spacing w:after="0" w:line="240" w:lineRule="auto"/>
        <w:rPr>
          <w:rFonts w:eastAsia="Times New Roman" w:cs="Arial"/>
          <w:b/>
          <w:noProof/>
          <w:color w:val="auto"/>
          <w:sz w:val="14"/>
          <w:szCs w:val="14"/>
          <w:highlight w:val="lightGray"/>
          <w:u w:val="single"/>
          <w:lang w:eastAsia="de-DE"/>
        </w:rPr>
      </w:pPr>
    </w:p>
    <w:p w14:paraId="5FE00F42" w14:textId="0DEE6B2A" w:rsidR="00385A2C" w:rsidRDefault="00385A2C" w:rsidP="004121D0">
      <w:pPr>
        <w:spacing w:after="0" w:line="240" w:lineRule="auto"/>
        <w:rPr>
          <w:rFonts w:eastAsia="Times New Roman" w:cs="Arial"/>
          <w:b/>
          <w:noProof/>
          <w:color w:val="auto"/>
          <w:sz w:val="14"/>
          <w:szCs w:val="14"/>
          <w:highlight w:val="lightGray"/>
          <w:u w:val="single"/>
          <w:lang w:eastAsia="de-DE"/>
        </w:rPr>
      </w:pPr>
    </w:p>
    <w:p w14:paraId="0E91EDEC" w14:textId="77777777" w:rsidR="00385A2C" w:rsidRDefault="00385A2C" w:rsidP="004121D0">
      <w:pPr>
        <w:spacing w:after="0" w:line="240" w:lineRule="auto"/>
        <w:rPr>
          <w:rFonts w:eastAsia="Times New Roman" w:cs="Arial"/>
          <w:b/>
          <w:noProof/>
          <w:color w:val="auto"/>
          <w:sz w:val="14"/>
          <w:szCs w:val="14"/>
          <w:highlight w:val="lightGray"/>
          <w:u w:val="single"/>
          <w:lang w:eastAsia="de-DE"/>
        </w:rPr>
      </w:pPr>
    </w:p>
    <w:p w14:paraId="305188F2" w14:textId="77777777" w:rsidR="004121D0" w:rsidRPr="004121D0" w:rsidRDefault="004121D0" w:rsidP="004121D0">
      <w:pPr>
        <w:spacing w:after="0" w:line="240" w:lineRule="auto"/>
        <w:rPr>
          <w:rFonts w:eastAsia="Times New Roman" w:cs="Arial"/>
          <w:b/>
          <w:noProof/>
          <w:color w:val="auto"/>
          <w:sz w:val="14"/>
          <w:szCs w:val="14"/>
          <w:u w:val="single"/>
          <w:lang w:eastAsia="de-DE"/>
        </w:rPr>
      </w:pPr>
      <w:r w:rsidRPr="004121D0">
        <w:rPr>
          <w:rFonts w:eastAsia="Times New Roman" w:cs="Arial"/>
          <w:b/>
          <w:noProof/>
          <w:color w:val="auto"/>
          <w:sz w:val="14"/>
          <w:szCs w:val="14"/>
          <w:highlight w:val="lightGray"/>
          <w:u w:val="single"/>
          <w:lang w:eastAsia="de-DE"/>
        </w:rPr>
        <w:lastRenderedPageBreak/>
        <w:t>7. Sonstige Leistungen</w:t>
      </w:r>
    </w:p>
    <w:p w14:paraId="42FF860E" w14:textId="77777777" w:rsidR="004121D0" w:rsidRPr="004121D0" w:rsidRDefault="004121D0" w:rsidP="004121D0">
      <w:pPr>
        <w:spacing w:after="0" w:line="240" w:lineRule="auto"/>
        <w:rPr>
          <w:rFonts w:eastAsia="Times New Roman" w:cs="Arial"/>
          <w:noProof/>
          <w:color w:val="auto"/>
          <w:sz w:val="14"/>
          <w:szCs w:val="14"/>
          <w:lang w:eastAsia="de-DE"/>
        </w:rPr>
      </w:pPr>
      <w:r w:rsidRPr="004121D0">
        <w:rPr>
          <w:rFonts w:eastAsia="Times New Roman" w:cs="Arial"/>
          <w:noProof/>
          <w:color w:val="auto"/>
          <w:sz w:val="14"/>
          <w:szCs w:val="14"/>
          <w:lang w:eastAsia="de-DE"/>
        </w:rPr>
        <w:t>Leichenschau gem. GOÄ Ziffern  100 und 101 (60%)                                                                                                                                                             165,77 Euro</w:t>
      </w:r>
    </w:p>
    <w:p w14:paraId="5FC68E44" w14:textId="206082CD" w:rsid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Für Leistungen im Zusammenhang mit dem stationären Aufenthalt aus Anlass einer Begutachtung berechnen das Krankenhaus sowie der liquidationsberechtigte Arzt ein Entgelt nach Aufwand.</w:t>
      </w:r>
    </w:p>
    <w:p w14:paraId="3186AC05" w14:textId="3D1F6650" w:rsidR="00435B19" w:rsidRDefault="00A77C26" w:rsidP="004121D0">
      <w:pPr>
        <w:spacing w:after="0" w:line="240" w:lineRule="auto"/>
        <w:jc w:val="both"/>
        <w:rPr>
          <w:rFonts w:eastAsia="Times New Roman" w:cs="Arial"/>
          <w:color w:val="auto"/>
          <w:sz w:val="14"/>
          <w:szCs w:val="14"/>
          <w:lang w:eastAsia="de-DE"/>
        </w:rPr>
      </w:pPr>
      <w:r>
        <w:rPr>
          <w:rFonts w:eastAsia="Times New Roman" w:cs="Arial"/>
          <w:color w:val="auto"/>
          <w:sz w:val="14"/>
          <w:szCs w:val="14"/>
          <w:lang w:eastAsia="de-DE"/>
        </w:rPr>
        <w:t>Nutzungsentgelt für die Kühlzelle (Sterbefal</w:t>
      </w:r>
      <w:r w:rsidR="00E21506">
        <w:rPr>
          <w:rFonts w:eastAsia="Times New Roman" w:cs="Arial"/>
          <w:color w:val="auto"/>
          <w:sz w:val="14"/>
          <w:szCs w:val="14"/>
          <w:lang w:eastAsia="de-DE"/>
        </w:rPr>
        <w:t>l) in Höhe von 41,65</w:t>
      </w:r>
      <w:r>
        <w:rPr>
          <w:rFonts w:eastAsia="Times New Roman" w:cs="Arial"/>
          <w:color w:val="auto"/>
          <w:sz w:val="14"/>
          <w:szCs w:val="14"/>
          <w:lang w:eastAsia="de-DE"/>
        </w:rPr>
        <w:t xml:space="preserve"> Euro</w:t>
      </w:r>
      <w:r w:rsidR="00E21506">
        <w:rPr>
          <w:rFonts w:eastAsia="Times New Roman" w:cs="Arial"/>
          <w:color w:val="auto"/>
          <w:sz w:val="14"/>
          <w:szCs w:val="14"/>
          <w:lang w:eastAsia="de-DE"/>
        </w:rPr>
        <w:t xml:space="preserve"> (inkl. 19% MwSt.)</w:t>
      </w:r>
      <w:r>
        <w:rPr>
          <w:rFonts w:eastAsia="Times New Roman" w:cs="Arial"/>
          <w:color w:val="auto"/>
          <w:sz w:val="14"/>
          <w:szCs w:val="14"/>
          <w:lang w:eastAsia="de-DE"/>
        </w:rPr>
        <w:t xml:space="preserve"> pro Tag.</w:t>
      </w:r>
    </w:p>
    <w:p w14:paraId="268E1453" w14:textId="7E9EFF10" w:rsidR="00435B19" w:rsidRDefault="00435B19" w:rsidP="004121D0">
      <w:pPr>
        <w:spacing w:after="0" w:line="240" w:lineRule="auto"/>
        <w:jc w:val="both"/>
        <w:rPr>
          <w:rFonts w:eastAsia="Times New Roman" w:cs="Arial"/>
          <w:color w:val="auto"/>
          <w:sz w:val="14"/>
          <w:szCs w:val="14"/>
          <w:lang w:eastAsia="de-DE"/>
        </w:rPr>
      </w:pPr>
    </w:p>
    <w:p w14:paraId="15EB904F" w14:textId="77777777"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8. Entgelte für vor- und nachstationäre Behandlungen gem. § 115a SGB V</w:t>
      </w:r>
    </w:p>
    <w:p w14:paraId="090BE8DD"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Gem. § 115a SGB V berechnet das Krankenhaus für vor- und nachstationäre Behandlungen folgende Entgelte:                                                             ab: 01.01.2002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919"/>
      </w:tblGrid>
      <w:tr w:rsidR="004121D0" w:rsidRPr="004121D0" w14:paraId="2402C23D" w14:textId="77777777" w:rsidTr="00A257C9">
        <w:tc>
          <w:tcPr>
            <w:tcW w:w="5245" w:type="dxa"/>
            <w:shd w:val="clear" w:color="auto" w:fill="auto"/>
          </w:tcPr>
          <w:p w14:paraId="28F128AC"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xml:space="preserve">a) </w:t>
            </w:r>
            <w:r w:rsidRPr="004121D0">
              <w:rPr>
                <w:rFonts w:eastAsia="Times New Roman" w:cs="Arial"/>
                <w:b/>
                <w:color w:val="auto"/>
                <w:sz w:val="14"/>
                <w:szCs w:val="14"/>
                <w:lang w:eastAsia="de-DE"/>
              </w:rPr>
              <w:t>vorstationäre Behandlung</w:t>
            </w:r>
          </w:p>
          <w:p w14:paraId="46B225C7"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xml:space="preserve">- Psychiatrie und </w:t>
            </w:r>
            <w:r w:rsidRPr="004121D0">
              <w:rPr>
                <w:rFonts w:eastAsia="Times New Roman" w:cs="Arial"/>
                <w:noProof/>
                <w:color w:val="auto"/>
                <w:sz w:val="14"/>
                <w:szCs w:val="14"/>
                <w:lang w:eastAsia="de-DE"/>
              </w:rPr>
              <w:t xml:space="preserve">Psychotherapie                                                       </w:t>
            </w:r>
            <w:r w:rsidRPr="004121D0">
              <w:rPr>
                <w:rFonts w:eastAsia="Times New Roman" w:cs="Arial"/>
                <w:color w:val="auto"/>
                <w:sz w:val="14"/>
                <w:szCs w:val="14"/>
                <w:lang w:eastAsia="de-DE"/>
              </w:rPr>
              <w:t>125,78 Euro</w:t>
            </w:r>
          </w:p>
          <w:p w14:paraId="3B600E39"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Psychosomatik                                                                                   99,19 Euro</w:t>
            </w:r>
          </w:p>
          <w:p w14:paraId="6F0E6CC2"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Kinder- und Jugendpsychiatrie                                                          50,11 Euro</w:t>
            </w:r>
          </w:p>
        </w:tc>
        <w:tc>
          <w:tcPr>
            <w:tcW w:w="4991" w:type="dxa"/>
            <w:shd w:val="clear" w:color="auto" w:fill="auto"/>
          </w:tcPr>
          <w:p w14:paraId="176F3654"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xml:space="preserve">b) </w:t>
            </w:r>
            <w:r w:rsidRPr="004121D0">
              <w:rPr>
                <w:rFonts w:eastAsia="Times New Roman" w:cs="Arial"/>
                <w:b/>
                <w:color w:val="auto"/>
                <w:sz w:val="14"/>
                <w:szCs w:val="14"/>
                <w:lang w:eastAsia="de-DE"/>
              </w:rPr>
              <w:t>nachstationäre Behandlung</w:t>
            </w:r>
          </w:p>
          <w:p w14:paraId="20840511"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Psychiatrie und Psychotherapie                                                  37,84 Euro</w:t>
            </w:r>
          </w:p>
          <w:p w14:paraId="03C31AC5"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Psychosomatik                                                                            47,55 Euro</w:t>
            </w:r>
          </w:p>
          <w:p w14:paraId="6EE6B6E1"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Kinder- und Jugendpsychiatrie                                                    20,45 Euro</w:t>
            </w:r>
          </w:p>
        </w:tc>
      </w:tr>
    </w:tbl>
    <w:p w14:paraId="18E2523D" w14:textId="77777777" w:rsidR="004121D0" w:rsidRPr="004121D0" w:rsidRDefault="004121D0" w:rsidP="004121D0">
      <w:pPr>
        <w:spacing w:after="0" w:line="240" w:lineRule="auto"/>
        <w:jc w:val="both"/>
        <w:rPr>
          <w:rFonts w:eastAsia="Times New Roman" w:cs="Arial"/>
          <w:b/>
          <w:bCs/>
          <w:noProof/>
          <w:color w:val="auto"/>
          <w:sz w:val="14"/>
          <w:szCs w:val="14"/>
          <w:highlight w:val="lightGray"/>
          <w:u w:val="single"/>
          <w:lang w:eastAsia="de-DE"/>
        </w:rPr>
      </w:pPr>
    </w:p>
    <w:p w14:paraId="3D79AADA" w14:textId="77777777" w:rsidR="004121D0" w:rsidRPr="004121D0" w:rsidRDefault="004121D0" w:rsidP="004121D0">
      <w:pPr>
        <w:spacing w:after="0" w:line="240" w:lineRule="auto"/>
        <w:jc w:val="both"/>
        <w:rPr>
          <w:rFonts w:eastAsia="Times New Roman" w:cs="Arial"/>
          <w:b/>
          <w:bCs/>
          <w:noProof/>
          <w:color w:val="auto"/>
          <w:sz w:val="14"/>
          <w:szCs w:val="14"/>
          <w:u w:val="single"/>
          <w:lang w:eastAsia="de-DE"/>
        </w:rPr>
      </w:pPr>
      <w:r w:rsidRPr="004121D0">
        <w:rPr>
          <w:rFonts w:eastAsia="Times New Roman" w:cs="Arial"/>
          <w:b/>
          <w:bCs/>
          <w:noProof/>
          <w:color w:val="auto"/>
          <w:sz w:val="14"/>
          <w:szCs w:val="14"/>
          <w:highlight w:val="lightGray"/>
          <w:u w:val="single"/>
          <w:lang w:eastAsia="de-DE"/>
        </w:rPr>
        <w:t>9. Zuzahlungen</w:t>
      </w:r>
    </w:p>
    <w:p w14:paraId="7F9C4BFA"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bCs/>
          <w:noProof/>
          <w:color w:val="auto"/>
          <w:sz w:val="14"/>
          <w:szCs w:val="14"/>
          <w:lang w:eastAsia="de-DE"/>
        </w:rPr>
        <w:t>Das Krankenhaus zieht entsprechend den jeweils gültigen gesetzlichen Vorschriften eine Zuzahlung ein.</w:t>
      </w:r>
    </w:p>
    <w:p w14:paraId="2A1BAD68" w14:textId="77777777" w:rsidR="004121D0" w:rsidRPr="004121D0" w:rsidRDefault="004121D0" w:rsidP="004121D0">
      <w:pPr>
        <w:spacing w:after="0" w:line="240" w:lineRule="auto"/>
        <w:rPr>
          <w:rFonts w:eastAsia="Times New Roman" w:cs="Arial"/>
          <w:b/>
          <w:color w:val="auto"/>
          <w:sz w:val="14"/>
          <w:szCs w:val="14"/>
          <w:highlight w:val="lightGray"/>
          <w:u w:val="single"/>
          <w:lang w:eastAsia="de-DE"/>
        </w:rPr>
      </w:pPr>
    </w:p>
    <w:p w14:paraId="02D844BA" w14:textId="77777777"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10. Wiederaufnahme und Rückverlegung</w:t>
      </w:r>
    </w:p>
    <w:p w14:paraId="3DD15429" w14:textId="3FA28EA4"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Im Falle der Wiederaufnahme in dasselbe Krankenhaus gem. § 2 Abs. 1 und 2 PEPPV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 xml:space="preserve"> oder der Rückverlegung gemäß § 3 Abs. 2 PEPPV 202</w:t>
      </w:r>
      <w:r w:rsidR="00860EEB">
        <w:rPr>
          <w:rFonts w:eastAsia="Times New Roman" w:cs="Arial"/>
          <w:noProof/>
          <w:color w:val="auto"/>
          <w:sz w:val="14"/>
          <w:szCs w:val="14"/>
          <w:lang w:eastAsia="de-DE"/>
        </w:rPr>
        <w:t>5</w:t>
      </w:r>
      <w:r w:rsidRPr="004121D0">
        <w:rPr>
          <w:rFonts w:eastAsia="Times New Roman" w:cs="Arial"/>
          <w:noProof/>
          <w:color w:val="auto"/>
          <w:sz w:val="14"/>
          <w:szCs w:val="14"/>
          <w:lang w:eastAsia="de-DE"/>
        </w:rPr>
        <w:t xml:space="preserve"> hat das Krankenhaus eine Zusammenfassung der Aufenthaltsdaten zu einem Fall und eine Neueinstufung in ein Entgelt vorzunehmen, wenn eine Patientin oder ein Patient innerhalb von 21 Kalendertagen, bemessen nach der Zahl der Kalendertage ab dem Entlassungstag der vorangegangenen Behandlung, wieder aufgenommen wird und in dieselbe Strukturkategorie einzustufen ist. Das Kriterium der Einstufung in dieselbe Strukturkategorie findet keine Anwendung, wenn Fälle aus unterschiedlichen Jahren zusammenzufassen sind. Eine Zusammenfassung und Neueinstufung ist nur vorzunehmen, wenn eine Patientin oder ein Patient innerhalb von 120 Kalendertagen ab dem Aufnahmedatum des ersten, unter diese Vorschrift der Zusammenfassung fallenden Krankenhausaufenthalts, wieder aufgenommen wird. </w:t>
      </w:r>
      <w:r w:rsidRPr="004121D0">
        <w:rPr>
          <w:rFonts w:eastAsia="Times New Roman" w:cs="Arial"/>
          <w:color w:val="auto"/>
          <w:sz w:val="14"/>
          <w:szCs w:val="14"/>
          <w:lang w:eastAsia="de-DE"/>
        </w:rPr>
        <w:t xml:space="preserve">Für Fallzusammenfassungen sind zur Ermittlung der Berechnungstage der Aufnahmetag sowie jeder weitere Tag des Krankenhausaufenthalts zusammenzurechnen; hierbei sind die Verlegungs- oder Entlassungstage aller zusammenzuführenden Aufenthalte mit in die Berechnung einzubeziehen. </w:t>
      </w:r>
    </w:p>
    <w:p w14:paraId="22967267" w14:textId="77777777" w:rsidR="004121D0" w:rsidRPr="004121D0" w:rsidRDefault="004121D0" w:rsidP="004121D0">
      <w:pPr>
        <w:spacing w:after="0" w:line="240" w:lineRule="auto"/>
        <w:rPr>
          <w:rFonts w:eastAsia="Times New Roman" w:cs="Arial"/>
          <w:b/>
          <w:color w:val="auto"/>
          <w:sz w:val="14"/>
          <w:szCs w:val="14"/>
          <w:highlight w:val="lightGray"/>
          <w:u w:val="single"/>
          <w:lang w:eastAsia="de-DE"/>
        </w:rPr>
      </w:pPr>
    </w:p>
    <w:p w14:paraId="00AFAB2B" w14:textId="77777777" w:rsidR="004121D0" w:rsidRPr="004121D0" w:rsidRDefault="004121D0" w:rsidP="004121D0">
      <w:pPr>
        <w:spacing w:after="0" w:line="240" w:lineRule="auto"/>
        <w:rPr>
          <w:rFonts w:eastAsia="Times New Roman" w:cs="Arial"/>
          <w:b/>
          <w:color w:val="auto"/>
          <w:sz w:val="14"/>
          <w:szCs w:val="14"/>
          <w:u w:val="single"/>
          <w:lang w:eastAsia="de-DE"/>
        </w:rPr>
      </w:pPr>
      <w:r w:rsidRPr="004121D0">
        <w:rPr>
          <w:rFonts w:eastAsia="Times New Roman" w:cs="Arial"/>
          <w:b/>
          <w:color w:val="auto"/>
          <w:sz w:val="14"/>
          <w:szCs w:val="14"/>
          <w:highlight w:val="lightGray"/>
          <w:u w:val="single"/>
          <w:lang w:eastAsia="de-DE"/>
        </w:rPr>
        <w:t>11. Entgelte für Wahlleistung und gesonderte Unterkunft</w:t>
      </w:r>
    </w:p>
    <w:p w14:paraId="6E464A9D"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Die außerhalb der allgemeinen Krankenhausleistungen in Anspruch ge</w:t>
      </w:r>
      <w:r w:rsidRPr="004121D0">
        <w:rPr>
          <w:rFonts w:eastAsia="Times New Roman" w:cs="Arial"/>
          <w:color w:val="auto"/>
          <w:sz w:val="14"/>
          <w:szCs w:val="14"/>
          <w:lang w:eastAsia="de-DE"/>
        </w:rPr>
        <w:softHyphen/>
        <w:t>nommenen Wahlleistungen (§ 6 AVB) werden gesondert berechnet (§ 22 BPflV):</w:t>
      </w:r>
    </w:p>
    <w:p w14:paraId="19A95982" w14:textId="77777777" w:rsidR="004121D0" w:rsidRPr="004121D0" w:rsidRDefault="004121D0" w:rsidP="004121D0">
      <w:pPr>
        <w:spacing w:after="0" w:line="240" w:lineRule="auto"/>
        <w:ind w:left="284" w:hanging="284"/>
        <w:jc w:val="both"/>
        <w:rPr>
          <w:rFonts w:eastAsia="Times New Roman" w:cs="Arial"/>
          <w:color w:val="auto"/>
          <w:sz w:val="14"/>
          <w:szCs w:val="14"/>
          <w:lang w:eastAsia="de-DE"/>
        </w:rPr>
      </w:pPr>
      <w:r w:rsidRPr="004121D0">
        <w:rPr>
          <w:rFonts w:eastAsia="Times New Roman" w:cs="Arial"/>
          <w:color w:val="auto"/>
          <w:sz w:val="14"/>
          <w:szCs w:val="14"/>
          <w:lang w:eastAsia="de-DE"/>
        </w:rPr>
        <w:t>1.</w:t>
      </w:r>
      <w:r w:rsidRPr="004121D0">
        <w:rPr>
          <w:rFonts w:eastAsia="Times New Roman" w:cs="Arial"/>
          <w:color w:val="auto"/>
          <w:sz w:val="14"/>
          <w:szCs w:val="14"/>
          <w:lang w:eastAsia="de-DE"/>
        </w:rPr>
        <w:tab/>
        <w:t>Ärztliche Leistungen aller an der Behandlung beteiligten Fachabteilun</w:t>
      </w:r>
      <w:r w:rsidRPr="004121D0">
        <w:rPr>
          <w:rFonts w:eastAsia="Times New Roman" w:cs="Arial"/>
          <w:color w:val="auto"/>
          <w:sz w:val="14"/>
          <w:szCs w:val="14"/>
          <w:lang w:eastAsia="de-DE"/>
        </w:rPr>
        <w:softHyphen/>
        <w:t>gen und Institute, der Konsiliarärzte und der fremden ärztlich geleiteten Einrichtungen.</w:t>
      </w:r>
    </w:p>
    <w:p w14:paraId="10DB819C" w14:textId="77777777" w:rsidR="004121D0" w:rsidRPr="004121D0" w:rsidRDefault="004121D0" w:rsidP="004121D0">
      <w:pPr>
        <w:spacing w:after="0" w:line="240" w:lineRule="auto"/>
        <w:ind w:left="567" w:hanging="283"/>
        <w:jc w:val="both"/>
        <w:rPr>
          <w:rFonts w:eastAsia="Times New Roman" w:cs="Arial"/>
          <w:color w:val="auto"/>
          <w:sz w:val="14"/>
          <w:szCs w:val="14"/>
          <w:lang w:eastAsia="de-DE"/>
        </w:rPr>
      </w:pPr>
      <w:r w:rsidRPr="004121D0">
        <w:rPr>
          <w:rFonts w:eastAsia="Times New Roman" w:cs="Arial"/>
          <w:color w:val="auto"/>
          <w:sz w:val="14"/>
          <w:szCs w:val="14"/>
          <w:lang w:eastAsia="de-DE"/>
        </w:rPr>
        <w:t>a)</w:t>
      </w:r>
      <w:r w:rsidRPr="004121D0">
        <w:rPr>
          <w:rFonts w:eastAsia="Times New Roman" w:cs="Arial"/>
          <w:color w:val="auto"/>
          <w:sz w:val="14"/>
          <w:szCs w:val="14"/>
          <w:lang w:eastAsia="de-DE"/>
        </w:rPr>
        <w:tab/>
        <w:t>Die ärztlichen Leistungen der Fachabteilungen/der ärztlich geleiteten Einrichtungen für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3356"/>
        <w:gridCol w:w="2519"/>
      </w:tblGrid>
      <w:tr w:rsidR="004121D0" w:rsidRPr="004121D0" w14:paraId="2C70B252" w14:textId="77777777" w:rsidTr="00A257C9">
        <w:tc>
          <w:tcPr>
            <w:tcW w:w="3752" w:type="dxa"/>
            <w:shd w:val="clear" w:color="auto" w:fill="auto"/>
          </w:tcPr>
          <w:p w14:paraId="5007E5AF"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1. Psychiatrie/Psychotherapie, Psychosomatik </w:t>
            </w:r>
          </w:p>
        </w:tc>
        <w:tc>
          <w:tcPr>
            <w:tcW w:w="3356" w:type="dxa"/>
            <w:shd w:val="clear" w:color="auto" w:fill="auto"/>
          </w:tcPr>
          <w:p w14:paraId="5A034443"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2. Lungen- und Bronchialheilkunde</w:t>
            </w:r>
          </w:p>
        </w:tc>
        <w:tc>
          <w:tcPr>
            <w:tcW w:w="2519" w:type="dxa"/>
            <w:shd w:val="clear" w:color="auto" w:fill="auto"/>
          </w:tcPr>
          <w:p w14:paraId="4A5EA870"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3. Rheumatologie</w:t>
            </w:r>
          </w:p>
        </w:tc>
      </w:tr>
      <w:tr w:rsidR="004121D0" w:rsidRPr="004121D0" w14:paraId="2AA63629" w14:textId="77777777" w:rsidTr="00A257C9">
        <w:tc>
          <w:tcPr>
            <w:tcW w:w="3752" w:type="dxa"/>
            <w:shd w:val="clear" w:color="auto" w:fill="auto"/>
          </w:tcPr>
          <w:p w14:paraId="7A75C143"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4. Kinder- und Jugendpsychiatrie</w:t>
            </w:r>
          </w:p>
        </w:tc>
        <w:tc>
          <w:tcPr>
            <w:tcW w:w="3356" w:type="dxa"/>
            <w:shd w:val="clear" w:color="auto" w:fill="auto"/>
          </w:tcPr>
          <w:p w14:paraId="12842081" w14:textId="77777777" w:rsidR="004121D0" w:rsidRPr="004121D0" w:rsidRDefault="004121D0" w:rsidP="004121D0">
            <w:pPr>
              <w:spacing w:after="0" w:line="240" w:lineRule="auto"/>
              <w:jc w:val="both"/>
              <w:rPr>
                <w:rFonts w:eastAsia="Times New Roman" w:cs="Arial"/>
                <w:color w:val="auto"/>
                <w:sz w:val="14"/>
                <w:szCs w:val="14"/>
                <w:lang w:eastAsia="de-DE"/>
              </w:rPr>
            </w:pPr>
          </w:p>
        </w:tc>
        <w:tc>
          <w:tcPr>
            <w:tcW w:w="2519" w:type="dxa"/>
            <w:shd w:val="clear" w:color="auto" w:fill="auto"/>
          </w:tcPr>
          <w:p w14:paraId="71DF9D66" w14:textId="77777777" w:rsidR="004121D0" w:rsidRPr="004121D0" w:rsidRDefault="004121D0" w:rsidP="004121D0">
            <w:pPr>
              <w:spacing w:after="0" w:line="240" w:lineRule="auto"/>
              <w:jc w:val="both"/>
              <w:rPr>
                <w:rFonts w:eastAsia="Times New Roman" w:cs="Arial"/>
                <w:color w:val="auto"/>
                <w:sz w:val="14"/>
                <w:szCs w:val="14"/>
                <w:lang w:eastAsia="de-DE"/>
              </w:rPr>
            </w:pPr>
          </w:p>
        </w:tc>
      </w:tr>
    </w:tbl>
    <w:p w14:paraId="45789025"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              werden von liquidationsberechtigten Ärzten gesondert berechnet. Für die Berechnung der Wahlleistung "ärztliche Leistung" finden die Vorschriften aus </w:t>
      </w:r>
    </w:p>
    <w:p w14:paraId="3D3EBFB2"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              der Gebührenordnung für Ärzte (GOÄ und der Bundespflegesatz</w:t>
      </w:r>
      <w:r w:rsidRPr="004121D0">
        <w:rPr>
          <w:rFonts w:eastAsia="Times New Roman" w:cs="Arial"/>
          <w:color w:val="auto"/>
          <w:sz w:val="14"/>
          <w:szCs w:val="14"/>
          <w:lang w:eastAsia="de-DE"/>
        </w:rPr>
        <w:softHyphen/>
        <w:t xml:space="preserve">verordnung) Anwendung. </w:t>
      </w:r>
    </w:p>
    <w:p w14:paraId="2B4CEADA"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 xml:space="preserve">           Liquidationsberechtigt sind: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350"/>
        <w:gridCol w:w="2544"/>
      </w:tblGrid>
      <w:tr w:rsidR="004121D0" w:rsidRPr="004121D0" w14:paraId="6C00FCA7" w14:textId="77777777" w:rsidTr="00A257C9">
        <w:tc>
          <w:tcPr>
            <w:tcW w:w="3766" w:type="dxa"/>
            <w:shd w:val="clear" w:color="auto" w:fill="auto"/>
          </w:tcPr>
          <w:p w14:paraId="40DA8935" w14:textId="77777777" w:rsidR="004121D0" w:rsidRPr="004121D0" w:rsidRDefault="004121D0" w:rsidP="004121D0">
            <w:pPr>
              <w:spacing w:after="0" w:line="240" w:lineRule="auto"/>
              <w:jc w:val="both"/>
              <w:rPr>
                <w:rFonts w:eastAsia="Times New Roman" w:cs="Arial"/>
                <w:color w:val="auto"/>
                <w:sz w:val="14"/>
                <w:szCs w:val="14"/>
                <w:lang w:val="en-US" w:eastAsia="de-DE"/>
              </w:rPr>
            </w:pPr>
            <w:r w:rsidRPr="004121D0">
              <w:rPr>
                <w:rFonts w:eastAsia="Times New Roman" w:cs="Arial"/>
                <w:color w:val="auto"/>
                <w:sz w:val="14"/>
                <w:szCs w:val="14"/>
                <w:lang w:val="en-US" w:eastAsia="de-DE"/>
              </w:rPr>
              <w:t>1. CA Dr. med. Nedal Al-Khatib</w:t>
            </w:r>
          </w:p>
        </w:tc>
        <w:tc>
          <w:tcPr>
            <w:tcW w:w="3350" w:type="dxa"/>
            <w:shd w:val="clear" w:color="auto" w:fill="auto"/>
          </w:tcPr>
          <w:p w14:paraId="1ACE9232" w14:textId="77777777" w:rsidR="004121D0" w:rsidRPr="004121D0" w:rsidRDefault="004121D0" w:rsidP="004121D0">
            <w:pPr>
              <w:spacing w:after="0" w:line="240" w:lineRule="auto"/>
              <w:jc w:val="both"/>
              <w:rPr>
                <w:rFonts w:eastAsia="Times New Roman" w:cs="Arial"/>
                <w:color w:val="auto"/>
                <w:sz w:val="14"/>
                <w:szCs w:val="14"/>
                <w:lang w:val="en-US" w:eastAsia="de-DE"/>
              </w:rPr>
            </w:pPr>
            <w:r w:rsidRPr="004121D0">
              <w:rPr>
                <w:rFonts w:eastAsia="Times New Roman" w:cs="Arial"/>
                <w:color w:val="auto"/>
                <w:sz w:val="14"/>
                <w:szCs w:val="14"/>
                <w:lang w:val="en-US" w:eastAsia="de-DE"/>
              </w:rPr>
              <w:t>2. CA. Dr. med. Saleh Al Hamoud</w:t>
            </w:r>
          </w:p>
        </w:tc>
        <w:tc>
          <w:tcPr>
            <w:tcW w:w="2544" w:type="dxa"/>
            <w:shd w:val="clear" w:color="auto" w:fill="auto"/>
          </w:tcPr>
          <w:p w14:paraId="01CB36C6"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3. Ltd. OA Dr. med. Dirk Günthel</w:t>
            </w:r>
          </w:p>
        </w:tc>
      </w:tr>
      <w:tr w:rsidR="004121D0" w:rsidRPr="004121D0" w14:paraId="3E89E51C" w14:textId="77777777" w:rsidTr="00A257C9">
        <w:tc>
          <w:tcPr>
            <w:tcW w:w="3766" w:type="dxa"/>
            <w:shd w:val="clear" w:color="auto" w:fill="auto"/>
          </w:tcPr>
          <w:p w14:paraId="7CE991BF"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4. N.N.</w:t>
            </w:r>
          </w:p>
        </w:tc>
        <w:tc>
          <w:tcPr>
            <w:tcW w:w="3350" w:type="dxa"/>
            <w:shd w:val="clear" w:color="auto" w:fill="auto"/>
          </w:tcPr>
          <w:p w14:paraId="27893FB4"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5. Dr. med. Jens Fritzsche</w:t>
            </w:r>
          </w:p>
        </w:tc>
        <w:tc>
          <w:tcPr>
            <w:tcW w:w="2544" w:type="dxa"/>
            <w:shd w:val="clear" w:color="auto" w:fill="auto"/>
          </w:tcPr>
          <w:p w14:paraId="575DA4D8" w14:textId="77777777" w:rsidR="004121D0" w:rsidRPr="004121D0" w:rsidRDefault="004121D0" w:rsidP="004121D0">
            <w:pPr>
              <w:spacing w:after="0" w:line="240" w:lineRule="auto"/>
              <w:jc w:val="both"/>
              <w:rPr>
                <w:rFonts w:eastAsia="Times New Roman" w:cs="Arial"/>
                <w:color w:val="auto"/>
                <w:sz w:val="14"/>
                <w:szCs w:val="14"/>
                <w:lang w:eastAsia="de-DE"/>
              </w:rPr>
            </w:pPr>
            <w:r w:rsidRPr="004121D0">
              <w:rPr>
                <w:rFonts w:eastAsia="Times New Roman" w:cs="Arial"/>
                <w:color w:val="auto"/>
                <w:sz w:val="14"/>
                <w:szCs w:val="14"/>
                <w:lang w:eastAsia="de-DE"/>
              </w:rPr>
              <w:t>6. Dr. med. Volker Waltz</w:t>
            </w:r>
          </w:p>
        </w:tc>
      </w:tr>
    </w:tbl>
    <w:p w14:paraId="4B273990" w14:textId="77777777" w:rsidR="004121D0" w:rsidRPr="004121D0" w:rsidRDefault="004121D0" w:rsidP="004121D0">
      <w:pPr>
        <w:spacing w:after="0" w:line="240" w:lineRule="auto"/>
        <w:ind w:left="567" w:hanging="283"/>
        <w:jc w:val="both"/>
        <w:rPr>
          <w:rFonts w:eastAsia="Times New Roman" w:cs="Arial"/>
          <w:color w:val="auto"/>
          <w:sz w:val="14"/>
          <w:szCs w:val="14"/>
          <w:lang w:eastAsia="de-DE"/>
        </w:rPr>
      </w:pPr>
      <w:r w:rsidRPr="004121D0">
        <w:rPr>
          <w:rFonts w:eastAsia="Times New Roman" w:cs="Arial"/>
          <w:color w:val="auto"/>
          <w:sz w:val="14"/>
          <w:szCs w:val="14"/>
          <w:lang w:eastAsia="de-DE"/>
        </w:rPr>
        <w:tab/>
        <w:t>Nach § 6 a GOÄ erfolgt eine Minderung der Gebühren um 25 %.</w:t>
      </w:r>
    </w:p>
    <w:p w14:paraId="3AD833B6" w14:textId="77777777" w:rsidR="004121D0" w:rsidRPr="004121D0" w:rsidRDefault="004121D0" w:rsidP="004121D0">
      <w:pPr>
        <w:spacing w:after="0" w:line="240" w:lineRule="auto"/>
        <w:ind w:left="567" w:hanging="283"/>
        <w:jc w:val="both"/>
        <w:rPr>
          <w:rFonts w:eastAsia="Times New Roman" w:cs="Arial"/>
          <w:color w:val="auto"/>
          <w:sz w:val="14"/>
          <w:szCs w:val="14"/>
          <w:lang w:eastAsia="de-DE"/>
        </w:rPr>
      </w:pPr>
      <w:r w:rsidRPr="004121D0">
        <w:rPr>
          <w:rFonts w:eastAsia="Times New Roman" w:cs="Arial"/>
          <w:color w:val="auto"/>
          <w:sz w:val="14"/>
          <w:szCs w:val="14"/>
          <w:lang w:eastAsia="de-DE"/>
        </w:rPr>
        <w:t>b)</w:t>
      </w:r>
      <w:r w:rsidRPr="004121D0">
        <w:rPr>
          <w:rFonts w:eastAsia="Times New Roman" w:cs="Arial"/>
          <w:color w:val="auto"/>
          <w:sz w:val="14"/>
          <w:szCs w:val="14"/>
          <w:lang w:eastAsia="de-DE"/>
        </w:rPr>
        <w:tab/>
        <w:t>Die ärztlichen Leistungen der Konsiliarärzte und der fremden ärztlich geleiteten Einrichtungen werden von diesen nach den für sie geltenden Tarifen berechnet</w:t>
      </w:r>
    </w:p>
    <w:p w14:paraId="1344A443" w14:textId="5125631C" w:rsidR="004121D0" w:rsidRPr="004121D0" w:rsidRDefault="004121D0" w:rsidP="004121D0">
      <w:pPr>
        <w:spacing w:after="0" w:line="240" w:lineRule="auto"/>
        <w:rPr>
          <w:rFonts w:eastAsia="Times New Roman" w:cs="Arial"/>
          <w:color w:val="FF0000"/>
          <w:sz w:val="14"/>
          <w:szCs w:val="14"/>
          <w:lang w:eastAsia="de-DE"/>
        </w:rPr>
      </w:pPr>
      <w:r w:rsidRPr="004121D0">
        <w:rPr>
          <w:rFonts w:eastAsia="Times New Roman" w:cs="Arial"/>
          <w:color w:val="auto"/>
          <w:sz w:val="14"/>
          <w:szCs w:val="14"/>
          <w:lang w:eastAsia="de-DE"/>
        </w:rPr>
        <w:t xml:space="preserve">2.    Wahlleistung gesonderte Unterkunft                                                                                                                                                                               </w:t>
      </w:r>
      <w:r w:rsidR="001F23B5">
        <w:rPr>
          <w:rFonts w:eastAsia="Times New Roman" w:cs="Arial"/>
          <w:color w:val="FF0000"/>
          <w:sz w:val="14"/>
          <w:szCs w:val="14"/>
          <w:lang w:eastAsia="de-DE"/>
        </w:rPr>
        <w:t>ab 01.0</w:t>
      </w:r>
      <w:r w:rsidR="00AB5D93">
        <w:rPr>
          <w:rFonts w:eastAsia="Times New Roman" w:cs="Arial"/>
          <w:color w:val="FF0000"/>
          <w:sz w:val="14"/>
          <w:szCs w:val="14"/>
          <w:lang w:eastAsia="de-DE"/>
        </w:rPr>
        <w:t>7</w:t>
      </w:r>
      <w:r w:rsidR="00860EEB">
        <w:rPr>
          <w:rFonts w:eastAsia="Times New Roman" w:cs="Arial"/>
          <w:color w:val="FF0000"/>
          <w:sz w:val="14"/>
          <w:szCs w:val="14"/>
          <w:lang w:eastAsia="de-DE"/>
        </w:rPr>
        <w:t>.2025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5085"/>
      </w:tblGrid>
      <w:tr w:rsidR="004121D0" w:rsidRPr="004121D0" w14:paraId="7A279F15" w14:textId="77777777" w:rsidTr="00A257C9">
        <w:tc>
          <w:tcPr>
            <w:tcW w:w="4780" w:type="dxa"/>
            <w:shd w:val="clear" w:color="auto" w:fill="auto"/>
          </w:tcPr>
          <w:p w14:paraId="4B5E5B55"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Unterbringung in einem 1-Bett-Zimmer (Psychiatrie, Psychosomatik)</w:t>
            </w:r>
          </w:p>
        </w:tc>
        <w:tc>
          <w:tcPr>
            <w:tcW w:w="5172" w:type="dxa"/>
            <w:shd w:val="clear" w:color="auto" w:fill="auto"/>
          </w:tcPr>
          <w:p w14:paraId="7DE2A02B" w14:textId="2F7B755B" w:rsidR="004121D0" w:rsidRPr="004121D0" w:rsidRDefault="00AB5D93" w:rsidP="004121D0">
            <w:pPr>
              <w:spacing w:after="0" w:line="240" w:lineRule="auto"/>
              <w:jc w:val="right"/>
              <w:rPr>
                <w:rFonts w:eastAsia="Times New Roman" w:cs="Arial"/>
                <w:color w:val="FF0000"/>
                <w:sz w:val="14"/>
                <w:szCs w:val="14"/>
                <w:lang w:eastAsia="de-DE"/>
              </w:rPr>
            </w:pPr>
            <w:r>
              <w:rPr>
                <w:rFonts w:eastAsia="Times New Roman" w:cs="Arial"/>
                <w:color w:val="FF0000"/>
                <w:sz w:val="14"/>
                <w:szCs w:val="14"/>
                <w:lang w:eastAsia="de-DE"/>
              </w:rPr>
              <w:t>33,30</w:t>
            </w:r>
            <w:r w:rsidR="004121D0" w:rsidRPr="004121D0">
              <w:rPr>
                <w:rFonts w:eastAsia="Times New Roman" w:cs="Arial"/>
                <w:color w:val="FF0000"/>
                <w:sz w:val="14"/>
                <w:szCs w:val="14"/>
                <w:lang w:eastAsia="de-DE"/>
              </w:rPr>
              <w:t xml:space="preserve"> Euro</w:t>
            </w:r>
          </w:p>
        </w:tc>
      </w:tr>
      <w:tr w:rsidR="004121D0" w:rsidRPr="004121D0" w14:paraId="7F8F407A" w14:textId="77777777" w:rsidTr="00A257C9">
        <w:tc>
          <w:tcPr>
            <w:tcW w:w="4780" w:type="dxa"/>
            <w:shd w:val="clear" w:color="auto" w:fill="auto"/>
          </w:tcPr>
          <w:p w14:paraId="5D0EE66F"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Platzfreihaltegebühr 1-Bett-Zimmer (Psychiatrie, Psychosomatik)</w:t>
            </w:r>
          </w:p>
        </w:tc>
        <w:tc>
          <w:tcPr>
            <w:tcW w:w="5172" w:type="dxa"/>
            <w:shd w:val="clear" w:color="auto" w:fill="auto"/>
          </w:tcPr>
          <w:p w14:paraId="1FAB0944" w14:textId="33F3E31D" w:rsidR="004121D0" w:rsidRPr="004121D0" w:rsidRDefault="00AB5D93" w:rsidP="004121D0">
            <w:pPr>
              <w:spacing w:after="0" w:line="240" w:lineRule="auto"/>
              <w:jc w:val="right"/>
              <w:rPr>
                <w:rFonts w:eastAsia="Times New Roman" w:cs="Arial"/>
                <w:color w:val="FF0000"/>
                <w:sz w:val="14"/>
                <w:szCs w:val="14"/>
                <w:lang w:eastAsia="de-DE"/>
              </w:rPr>
            </w:pPr>
            <w:r>
              <w:rPr>
                <w:rFonts w:eastAsia="Times New Roman" w:cs="Arial"/>
                <w:color w:val="FF0000"/>
                <w:sz w:val="14"/>
                <w:szCs w:val="14"/>
                <w:lang w:eastAsia="de-DE"/>
              </w:rPr>
              <w:t>24,98</w:t>
            </w:r>
            <w:r w:rsidR="004121D0" w:rsidRPr="004121D0">
              <w:rPr>
                <w:rFonts w:eastAsia="Times New Roman" w:cs="Arial"/>
                <w:color w:val="FF0000"/>
                <w:sz w:val="14"/>
                <w:szCs w:val="14"/>
                <w:lang w:eastAsia="de-DE"/>
              </w:rPr>
              <w:t xml:space="preserve"> Euro</w:t>
            </w:r>
          </w:p>
        </w:tc>
      </w:tr>
      <w:tr w:rsidR="004121D0" w:rsidRPr="004121D0" w14:paraId="46C7486E" w14:textId="77777777" w:rsidTr="00A257C9">
        <w:tc>
          <w:tcPr>
            <w:tcW w:w="4780" w:type="dxa"/>
            <w:shd w:val="clear" w:color="auto" w:fill="auto"/>
          </w:tcPr>
          <w:p w14:paraId="35A9932A" w14:textId="77777777"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Unterbringung und Verpflegung einer Begleitperson je Berechnungstag</w:t>
            </w:r>
          </w:p>
        </w:tc>
        <w:tc>
          <w:tcPr>
            <w:tcW w:w="5172" w:type="dxa"/>
            <w:shd w:val="clear" w:color="auto" w:fill="auto"/>
          </w:tcPr>
          <w:p w14:paraId="457F7C10" w14:textId="7715CCD6" w:rsidR="004121D0" w:rsidRPr="004121D0" w:rsidRDefault="00860EEB" w:rsidP="004121D0">
            <w:pPr>
              <w:spacing w:after="0" w:line="240" w:lineRule="auto"/>
              <w:jc w:val="right"/>
              <w:rPr>
                <w:rFonts w:eastAsia="Times New Roman" w:cs="Arial"/>
                <w:color w:val="auto"/>
                <w:sz w:val="14"/>
                <w:szCs w:val="14"/>
                <w:lang w:eastAsia="de-DE"/>
              </w:rPr>
            </w:pPr>
            <w:r>
              <w:rPr>
                <w:rFonts w:eastAsia="Times New Roman" w:cs="Arial"/>
                <w:color w:val="auto"/>
                <w:sz w:val="14"/>
                <w:szCs w:val="14"/>
                <w:lang w:eastAsia="de-DE"/>
              </w:rPr>
              <w:t>60</w:t>
            </w:r>
            <w:r w:rsidR="004121D0" w:rsidRPr="004121D0">
              <w:rPr>
                <w:rFonts w:eastAsia="Times New Roman" w:cs="Arial"/>
                <w:color w:val="auto"/>
                <w:sz w:val="14"/>
                <w:szCs w:val="14"/>
                <w:lang w:eastAsia="de-DE"/>
              </w:rPr>
              <w:t>,00 Euro</w:t>
            </w:r>
          </w:p>
        </w:tc>
      </w:tr>
    </w:tbl>
    <w:p w14:paraId="66327CE6" w14:textId="77777777" w:rsidR="004121D0" w:rsidRPr="004121D0" w:rsidRDefault="004121D0" w:rsidP="004121D0">
      <w:pPr>
        <w:spacing w:after="0" w:line="240" w:lineRule="auto"/>
        <w:rPr>
          <w:rFonts w:eastAsia="Times New Roman" w:cs="Arial"/>
          <w:noProof/>
          <w:color w:val="auto"/>
          <w:sz w:val="2"/>
          <w:szCs w:val="2"/>
          <w:highlight w:val="lightGray"/>
          <w:lang w:eastAsia="de-DE"/>
        </w:rPr>
      </w:pPr>
    </w:p>
    <w:p w14:paraId="68C065A2" w14:textId="799685AE" w:rsidR="004121D0" w:rsidRPr="004121D0" w:rsidRDefault="004121D0" w:rsidP="004121D0">
      <w:pPr>
        <w:spacing w:after="0" w:line="240" w:lineRule="auto"/>
        <w:rPr>
          <w:rFonts w:eastAsia="Times New Roman" w:cs="Arial"/>
          <w:noProof/>
          <w:color w:val="auto"/>
          <w:sz w:val="2"/>
          <w:szCs w:val="2"/>
          <w:highlight w:val="lightGray"/>
          <w:lang w:eastAsia="de-DE"/>
        </w:rPr>
      </w:pPr>
    </w:p>
    <w:p w14:paraId="3807D4FD" w14:textId="77777777" w:rsidR="004121D0" w:rsidRPr="004121D0" w:rsidRDefault="004121D0" w:rsidP="004121D0">
      <w:pPr>
        <w:spacing w:after="0" w:line="240" w:lineRule="auto"/>
        <w:rPr>
          <w:rFonts w:eastAsia="Times New Roman" w:cs="Arial"/>
          <w:noProof/>
          <w:color w:val="auto"/>
          <w:sz w:val="2"/>
          <w:szCs w:val="2"/>
          <w:highlight w:val="lightGray"/>
          <w:lang w:eastAsia="de-DE"/>
        </w:rPr>
      </w:pPr>
    </w:p>
    <w:p w14:paraId="637891C0" w14:textId="515C5687" w:rsidR="004121D0" w:rsidRPr="00BA20EE" w:rsidRDefault="004121D0" w:rsidP="004121D0">
      <w:pPr>
        <w:spacing w:after="0" w:line="240" w:lineRule="auto"/>
        <w:rPr>
          <w:rFonts w:eastAsia="Times New Roman" w:cs="Arial"/>
          <w:noProof/>
          <w:color w:val="auto"/>
          <w:sz w:val="14"/>
          <w:szCs w:val="14"/>
          <w:highlight w:val="lightGray"/>
          <w:lang w:eastAsia="de-DE"/>
        </w:rPr>
      </w:pPr>
    </w:p>
    <w:p w14:paraId="237C5954" w14:textId="77777777" w:rsidR="004121D0" w:rsidRPr="004121D0" w:rsidRDefault="004121D0" w:rsidP="004121D0">
      <w:pPr>
        <w:spacing w:after="0" w:line="240" w:lineRule="auto"/>
        <w:rPr>
          <w:rFonts w:eastAsia="Times New Roman" w:cs="Arial"/>
          <w:noProof/>
          <w:color w:val="auto"/>
          <w:sz w:val="2"/>
          <w:szCs w:val="2"/>
          <w:highlight w:val="lightGray"/>
          <w:lang w:eastAsia="de-DE"/>
        </w:rPr>
      </w:pPr>
    </w:p>
    <w:p w14:paraId="747BB88A" w14:textId="77777777" w:rsidR="004121D0" w:rsidRPr="004121D0" w:rsidRDefault="004121D0" w:rsidP="004121D0">
      <w:pPr>
        <w:spacing w:after="0" w:line="240" w:lineRule="auto"/>
        <w:rPr>
          <w:rFonts w:eastAsia="Times New Roman" w:cs="Arial"/>
          <w:noProof/>
          <w:color w:val="auto"/>
          <w:sz w:val="2"/>
          <w:szCs w:val="2"/>
          <w:highlight w:val="lightGray"/>
          <w:lang w:eastAsia="de-DE"/>
        </w:rPr>
      </w:pPr>
    </w:p>
    <w:p w14:paraId="49637BD8" w14:textId="77777777" w:rsidR="004121D0" w:rsidRPr="004121D0" w:rsidRDefault="004121D0" w:rsidP="004121D0">
      <w:pPr>
        <w:spacing w:after="0" w:line="240" w:lineRule="auto"/>
        <w:rPr>
          <w:rFonts w:eastAsia="Times New Roman" w:cs="Arial"/>
          <w:noProof/>
          <w:color w:val="auto"/>
          <w:sz w:val="2"/>
          <w:szCs w:val="2"/>
          <w:highlight w:val="lightGray"/>
          <w:lang w:eastAsia="de-DE"/>
        </w:rPr>
      </w:pPr>
    </w:p>
    <w:p w14:paraId="0892F519" w14:textId="77777777" w:rsidR="004121D0" w:rsidRPr="004121D0" w:rsidRDefault="004121D0" w:rsidP="004121D0">
      <w:pPr>
        <w:spacing w:after="0" w:line="240" w:lineRule="auto"/>
        <w:rPr>
          <w:rFonts w:eastAsia="Times New Roman" w:cs="Arial"/>
          <w:noProof/>
          <w:color w:val="auto"/>
          <w:sz w:val="2"/>
          <w:szCs w:val="2"/>
          <w:lang w:eastAsia="de-DE"/>
        </w:rPr>
      </w:pPr>
      <w:r w:rsidRPr="004121D0">
        <w:rPr>
          <w:rFonts w:eastAsia="Times New Roman" w:cs="Arial"/>
          <w:noProof/>
          <w:color w:val="auto"/>
          <w:sz w:val="2"/>
          <w:szCs w:val="2"/>
          <w:highlight w:val="lightGray"/>
          <w:lang w:eastAsia="de-DE"/>
        </w:rPr>
        <w:t>,</w:t>
      </w:r>
      <w:r w:rsidRPr="004121D0">
        <w:rPr>
          <w:rFonts w:eastAsia="Times New Roman" w:cs="Arial"/>
          <w:b/>
          <w:color w:val="auto"/>
          <w:sz w:val="14"/>
          <w:szCs w:val="14"/>
          <w:highlight w:val="lightGray"/>
          <w:u w:val="single"/>
          <w:lang w:eastAsia="de-DE"/>
        </w:rPr>
        <w:t>Inkrafttreten</w:t>
      </w:r>
    </w:p>
    <w:p w14:paraId="08D17B94" w14:textId="04B6C3F0"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Dieser PEPP-Entgelttarif tritt am </w:t>
      </w:r>
      <w:r w:rsidR="00ED105D">
        <w:rPr>
          <w:rFonts w:eastAsia="Times New Roman" w:cs="Arial"/>
          <w:noProof/>
          <w:color w:val="FF0000"/>
          <w:sz w:val="14"/>
          <w:szCs w:val="14"/>
          <w:lang w:eastAsia="de-DE"/>
        </w:rPr>
        <w:t>01.10</w:t>
      </w:r>
      <w:r w:rsidR="00860EEB">
        <w:rPr>
          <w:rFonts w:eastAsia="Times New Roman" w:cs="Arial"/>
          <w:noProof/>
          <w:color w:val="FF0000"/>
          <w:sz w:val="14"/>
          <w:szCs w:val="14"/>
          <w:lang w:eastAsia="de-DE"/>
        </w:rPr>
        <w:t>.2025</w:t>
      </w:r>
      <w:r w:rsidRPr="004121D0">
        <w:rPr>
          <w:rFonts w:eastAsia="Times New Roman" w:cs="Arial"/>
          <w:noProof/>
          <w:color w:val="auto"/>
          <w:sz w:val="14"/>
          <w:szCs w:val="14"/>
          <w:lang w:eastAsia="de-DE"/>
        </w:rPr>
        <w:t xml:space="preserve"> in Kraft. Gleichzeitig wird der PEPP-Entgelttarif vom </w:t>
      </w:r>
      <w:r w:rsidR="00ED105D">
        <w:rPr>
          <w:rFonts w:eastAsia="Times New Roman" w:cs="Arial"/>
          <w:noProof/>
          <w:color w:val="auto"/>
          <w:sz w:val="14"/>
          <w:szCs w:val="14"/>
          <w:lang w:eastAsia="de-DE"/>
        </w:rPr>
        <w:t>01.08</w:t>
      </w:r>
      <w:r w:rsidR="00AB5D93">
        <w:rPr>
          <w:rFonts w:eastAsia="Times New Roman" w:cs="Arial"/>
          <w:noProof/>
          <w:color w:val="auto"/>
          <w:sz w:val="14"/>
          <w:szCs w:val="14"/>
          <w:lang w:eastAsia="de-DE"/>
        </w:rPr>
        <w:t>.2025</w:t>
      </w:r>
      <w:r w:rsidRPr="004121D0">
        <w:rPr>
          <w:rFonts w:eastAsia="Times New Roman" w:cs="Arial"/>
          <w:noProof/>
          <w:color w:val="auto"/>
          <w:sz w:val="14"/>
          <w:szCs w:val="14"/>
          <w:lang w:eastAsia="de-DE"/>
        </w:rPr>
        <w:t xml:space="preserve"> aufgehoben.</w:t>
      </w:r>
    </w:p>
    <w:p w14:paraId="677E98C8" w14:textId="77777777" w:rsidR="004121D0" w:rsidRPr="004121D0" w:rsidRDefault="004121D0" w:rsidP="004121D0">
      <w:pPr>
        <w:spacing w:after="0" w:line="240" w:lineRule="auto"/>
        <w:jc w:val="both"/>
        <w:rPr>
          <w:rFonts w:eastAsia="Times New Roman" w:cs="Arial"/>
          <w:noProof/>
          <w:color w:val="auto"/>
          <w:sz w:val="14"/>
          <w:szCs w:val="14"/>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4121D0" w:rsidRPr="004121D0" w14:paraId="136C1B94" w14:textId="77777777" w:rsidTr="00A257C9">
        <w:tc>
          <w:tcPr>
            <w:tcW w:w="10236" w:type="dxa"/>
            <w:shd w:val="clear" w:color="auto" w:fill="auto"/>
          </w:tcPr>
          <w:p w14:paraId="7EB81D73"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Sehr geehrte Patientin, sehr geehrter Patient,</w:t>
            </w:r>
          </w:p>
          <w:p w14:paraId="784EBB16"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sollten Sie zu Einzelheiten noch ergänzende Fragen haben, stehen Ihnen folgende Mitarbeiter unseres Krankenhauses hierfür gerne zur Verfügung: </w:t>
            </w:r>
          </w:p>
          <w:p w14:paraId="7F6C33FF" w14:textId="7C9A9C81"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Herr Gehringer, Verw.-Fachwirt, Leiter Patientenadministration, Tel. (09547) 81-2207, Fr. Müller, Tel. -2213, </w:t>
            </w:r>
            <w:r w:rsidR="00A41A1D">
              <w:rPr>
                <w:rFonts w:eastAsia="Times New Roman" w:cs="Arial"/>
                <w:noProof/>
                <w:color w:val="auto"/>
                <w:sz w:val="14"/>
                <w:szCs w:val="14"/>
                <w:lang w:eastAsia="de-DE"/>
              </w:rPr>
              <w:t>Hr. Seelmann, Tel. -2305</w:t>
            </w:r>
            <w:r w:rsidRPr="004121D0">
              <w:rPr>
                <w:rFonts w:eastAsia="Times New Roman" w:cs="Arial"/>
                <w:noProof/>
                <w:color w:val="auto"/>
                <w:sz w:val="14"/>
                <w:szCs w:val="14"/>
                <w:lang w:eastAsia="de-DE"/>
              </w:rPr>
              <w:t xml:space="preserve">, </w:t>
            </w:r>
            <w:r w:rsidR="00EC26F3">
              <w:rPr>
                <w:rFonts w:eastAsia="Times New Roman" w:cs="Arial"/>
                <w:iCs/>
                <w:color w:val="auto"/>
                <w:sz w:val="14"/>
                <w:szCs w:val="14"/>
                <w:lang w:eastAsia="de-DE"/>
              </w:rPr>
              <w:t xml:space="preserve">Frau Schneiderbanger, Tel. -2355, </w:t>
            </w:r>
            <w:r w:rsidRPr="004121D0">
              <w:rPr>
                <w:rFonts w:eastAsia="Times New Roman" w:cs="Arial"/>
                <w:noProof/>
                <w:color w:val="auto"/>
                <w:sz w:val="14"/>
                <w:szCs w:val="14"/>
                <w:lang w:eastAsia="de-DE"/>
              </w:rPr>
              <w:t>Fr. Seiermann, Tel. -2925,  Fr.  Adelberg, Tel. -2255.</w:t>
            </w:r>
          </w:p>
          <w:p w14:paraId="7513CB53" w14:textId="77777777" w:rsidR="004121D0" w:rsidRPr="004121D0" w:rsidRDefault="004121D0" w:rsidP="004121D0">
            <w:pPr>
              <w:spacing w:after="0" w:line="240" w:lineRule="auto"/>
              <w:jc w:val="both"/>
              <w:rPr>
                <w:rFonts w:eastAsia="Times New Roman" w:cs="Arial"/>
                <w:noProof/>
                <w:color w:val="auto"/>
                <w:sz w:val="14"/>
                <w:szCs w:val="14"/>
                <w:lang w:eastAsia="de-DE"/>
              </w:rPr>
            </w:pPr>
            <w:r w:rsidRPr="004121D0">
              <w:rPr>
                <w:rFonts w:eastAsia="Times New Roman" w:cs="Arial"/>
                <w:noProof/>
                <w:color w:val="auto"/>
                <w:sz w:val="14"/>
                <w:szCs w:val="14"/>
                <w:lang w:eastAsia="de-DE"/>
              </w:rPr>
              <w:t xml:space="preserve">Gleichzeitig können Sie dort auch jederzeit Einsicht in das PEPP-Klassifikationssystem mit den zugehörigen Kostengewichten sowie die zugehörigen Abrechnungsregeln nehmen. </w:t>
            </w:r>
            <w:r w:rsidRPr="004121D0">
              <w:rPr>
                <w:rFonts w:eastAsia="Times New Roman" w:cs="Arial"/>
                <w:i/>
                <w:noProof/>
                <w:color w:val="auto"/>
                <w:sz w:val="14"/>
                <w:szCs w:val="14"/>
                <w:lang w:eastAsia="de-DE"/>
              </w:rPr>
              <w:t>Insgesamt kann die Vergütung der allgemeinen Krankenhausleistungen und der Wahlleistungen eine nicht unerhebliche finanzielle Belastung bedeuten. Dies gilt insbesondere für Selbstzahler. Prüfen Sie bitte, ob Sie in vollem Umfang für eine Krankenhausbehandlung versichert sind.</w:t>
            </w:r>
          </w:p>
        </w:tc>
      </w:tr>
    </w:tbl>
    <w:p w14:paraId="356AA9F3" w14:textId="77777777" w:rsidR="004121D0" w:rsidRPr="004121D0" w:rsidRDefault="004121D0" w:rsidP="004121D0">
      <w:pPr>
        <w:spacing w:after="0" w:line="240" w:lineRule="auto"/>
        <w:rPr>
          <w:rFonts w:eastAsia="Times New Roman" w:cs="Arial"/>
          <w:color w:val="auto"/>
          <w:sz w:val="2"/>
          <w:szCs w:val="2"/>
          <w:lang w:eastAsia="de-DE"/>
        </w:rPr>
      </w:pPr>
    </w:p>
    <w:p w14:paraId="5806970F" w14:textId="77777777" w:rsidR="004121D0" w:rsidRPr="004121D0" w:rsidRDefault="004121D0" w:rsidP="004121D0">
      <w:pPr>
        <w:spacing w:after="0" w:line="240" w:lineRule="auto"/>
        <w:rPr>
          <w:rFonts w:eastAsia="Times New Roman" w:cs="Arial"/>
          <w:color w:val="auto"/>
          <w:sz w:val="14"/>
          <w:szCs w:val="14"/>
          <w:lang w:eastAsia="de-DE"/>
        </w:rPr>
      </w:pPr>
    </w:p>
    <w:p w14:paraId="0FDDF4BE" w14:textId="0E281459" w:rsidR="004121D0" w:rsidRPr="004121D0" w:rsidRDefault="004121D0" w:rsidP="004121D0">
      <w:pPr>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 xml:space="preserve">Ebensfeld, </w:t>
      </w:r>
      <w:r w:rsidR="00ED105D">
        <w:rPr>
          <w:rFonts w:eastAsia="Times New Roman" w:cs="Arial"/>
          <w:color w:val="FF0000"/>
          <w:sz w:val="14"/>
          <w:szCs w:val="14"/>
          <w:lang w:eastAsia="de-DE"/>
        </w:rPr>
        <w:t>01.10</w:t>
      </w:r>
      <w:r w:rsidR="00A77C26">
        <w:rPr>
          <w:rFonts w:eastAsia="Times New Roman" w:cs="Arial"/>
          <w:color w:val="FF0000"/>
          <w:sz w:val="14"/>
          <w:szCs w:val="14"/>
          <w:lang w:eastAsia="de-DE"/>
        </w:rPr>
        <w:t>.2025</w:t>
      </w:r>
    </w:p>
    <w:p w14:paraId="5102CBC7" w14:textId="77777777" w:rsidR="004121D0" w:rsidRPr="004121D0" w:rsidRDefault="004121D0" w:rsidP="004121D0">
      <w:pPr>
        <w:tabs>
          <w:tab w:val="left" w:pos="2910"/>
        </w:tabs>
        <w:spacing w:after="0" w:line="240" w:lineRule="auto"/>
        <w:rPr>
          <w:rFonts w:eastAsia="Times New Roman" w:cs="Arial"/>
          <w:color w:val="auto"/>
          <w:sz w:val="14"/>
          <w:szCs w:val="14"/>
          <w:lang w:eastAsia="de-DE"/>
        </w:rPr>
      </w:pPr>
    </w:p>
    <w:p w14:paraId="73507851" w14:textId="77777777" w:rsidR="004121D0" w:rsidRPr="004121D0" w:rsidRDefault="004121D0" w:rsidP="004121D0">
      <w:pPr>
        <w:tabs>
          <w:tab w:val="left" w:pos="2910"/>
        </w:tabs>
        <w:spacing w:after="0" w:line="240" w:lineRule="auto"/>
        <w:rPr>
          <w:rFonts w:eastAsia="Times New Roman" w:cs="Arial"/>
          <w:color w:val="auto"/>
          <w:sz w:val="14"/>
          <w:szCs w:val="14"/>
          <w:lang w:eastAsia="de-DE"/>
        </w:rPr>
      </w:pPr>
    </w:p>
    <w:p w14:paraId="7124B242" w14:textId="77777777" w:rsidR="004121D0" w:rsidRPr="004121D0" w:rsidRDefault="004121D0" w:rsidP="004121D0">
      <w:pPr>
        <w:tabs>
          <w:tab w:val="left" w:pos="2910"/>
        </w:tabs>
        <w:spacing w:after="0" w:line="240" w:lineRule="auto"/>
        <w:rPr>
          <w:rFonts w:eastAsia="Times New Roman" w:cs="Arial"/>
          <w:color w:val="auto"/>
          <w:sz w:val="14"/>
          <w:szCs w:val="14"/>
          <w:lang w:eastAsia="de-DE"/>
        </w:rPr>
      </w:pPr>
    </w:p>
    <w:p w14:paraId="27D7917A" w14:textId="77777777" w:rsidR="004121D0" w:rsidRPr="004121D0" w:rsidRDefault="004121D0" w:rsidP="004121D0">
      <w:pPr>
        <w:tabs>
          <w:tab w:val="left" w:pos="2910"/>
        </w:tabs>
        <w:spacing w:after="0" w:line="240" w:lineRule="auto"/>
        <w:rPr>
          <w:rFonts w:eastAsia="Times New Roman" w:cs="Arial"/>
          <w:color w:val="auto"/>
          <w:sz w:val="14"/>
          <w:szCs w:val="14"/>
          <w:lang w:eastAsia="de-DE"/>
        </w:rPr>
      </w:pPr>
      <w:r w:rsidRPr="004121D0">
        <w:rPr>
          <w:rFonts w:eastAsia="Times New Roman" w:cs="Arial"/>
          <w:color w:val="auto"/>
          <w:sz w:val="14"/>
          <w:szCs w:val="14"/>
          <w:lang w:eastAsia="de-DE"/>
        </w:rPr>
        <w:tab/>
      </w:r>
    </w:p>
    <w:p w14:paraId="307A380D" w14:textId="3BA4718C" w:rsidR="004121D0" w:rsidRDefault="00A77C26" w:rsidP="004121D0">
      <w:pPr>
        <w:spacing w:after="0" w:line="240" w:lineRule="auto"/>
        <w:rPr>
          <w:rFonts w:eastAsia="Times New Roman" w:cs="Arial"/>
          <w:color w:val="auto"/>
          <w:sz w:val="14"/>
          <w:szCs w:val="14"/>
          <w:lang w:eastAsia="de-DE"/>
        </w:rPr>
      </w:pPr>
      <w:r>
        <w:rPr>
          <w:rFonts w:eastAsia="Times New Roman" w:cs="Arial"/>
          <w:color w:val="auto"/>
          <w:sz w:val="14"/>
          <w:szCs w:val="14"/>
          <w:lang w:eastAsia="de-DE"/>
        </w:rPr>
        <w:t>Thomas Krosse</w:t>
      </w:r>
    </w:p>
    <w:p w14:paraId="190C3B0B" w14:textId="047CD579" w:rsidR="005413C7" w:rsidRPr="004121D0" w:rsidRDefault="00A77C26" w:rsidP="004121D0">
      <w:pPr>
        <w:spacing w:after="0" w:line="240" w:lineRule="auto"/>
        <w:rPr>
          <w:rFonts w:eastAsia="Times New Roman" w:cs="Arial"/>
          <w:color w:val="auto"/>
          <w:sz w:val="14"/>
          <w:szCs w:val="14"/>
          <w:lang w:eastAsia="de-DE"/>
        </w:rPr>
      </w:pPr>
      <w:r>
        <w:rPr>
          <w:rFonts w:eastAsia="Times New Roman" w:cs="Arial"/>
          <w:color w:val="auto"/>
          <w:sz w:val="14"/>
          <w:szCs w:val="14"/>
          <w:lang w:eastAsia="de-DE"/>
        </w:rPr>
        <w:t>Standortleiter</w:t>
      </w:r>
    </w:p>
    <w:p w14:paraId="31A3492D" w14:textId="2630B051" w:rsidR="00952CE1" w:rsidRPr="004121D0" w:rsidRDefault="00952CE1" w:rsidP="004121D0"/>
    <w:sectPr w:rsidR="00952CE1" w:rsidRPr="004121D0" w:rsidSect="004121D0">
      <w:headerReference w:type="default" r:id="rId10"/>
      <w:headerReference w:type="first" r:id="rId11"/>
      <w:footerReference w:type="first" r:id="rId12"/>
      <w:pgSz w:w="11906" w:h="16838" w:code="9"/>
      <w:pgMar w:top="1134" w:right="851" w:bottom="567" w:left="851" w:header="425"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A257C9" w:rsidRDefault="00A257C9">
      <w:pPr>
        <w:spacing w:after="0" w:line="240" w:lineRule="auto"/>
      </w:pPr>
      <w:r>
        <w:separator/>
      </w:r>
    </w:p>
  </w:endnote>
  <w:endnote w:type="continuationSeparator" w:id="0">
    <w:p w14:paraId="60E994C3" w14:textId="77777777" w:rsidR="00A257C9" w:rsidRDefault="00A257C9">
      <w:pPr>
        <w:spacing w:after="0" w:line="240" w:lineRule="auto"/>
      </w:pPr>
      <w:r>
        <w:continuationSeparator/>
      </w:r>
    </w:p>
  </w:endnote>
  <w:endnote w:type="continuationNotice" w:id="1">
    <w:p w14:paraId="2F45D18E" w14:textId="77777777" w:rsidR="00A257C9" w:rsidRDefault="00A25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A257C9" w:rsidRDefault="00A257C9">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11FAABD1" w:rsidR="00A257C9" w:rsidRDefault="00A257C9">
                          <w:r>
                            <w:rPr>
                              <w:rFonts w:cs="Arial"/>
                              <w:noProof/>
                              <w:sz w:val="18"/>
                              <w:lang w:eastAsia="de-DE"/>
                            </w:rPr>
                            <w:drawing>
                              <wp:inline distT="0" distB="0" distL="0" distR="0" wp14:anchorId="6775305D" wp14:editId="5F780799">
                                <wp:extent cx="731520" cy="73152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26"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11FAABD1" w:rsidR="00567F0B" w:rsidRDefault="005D308C">
                    <w:r>
                      <w:rPr>
                        <w:rFonts w:cs="Arial"/>
                        <w:noProof/>
                        <w:sz w:val="18"/>
                        <w:lang w:eastAsia="de-DE"/>
                      </w:rPr>
                      <w:drawing>
                        <wp:inline distT="0" distB="0" distL="0" distR="0" wp14:anchorId="6775305D" wp14:editId="5F780799">
                          <wp:extent cx="731520" cy="73152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A257C9" w14:paraId="3F64359B" w14:textId="77777777">
      <w:tc>
        <w:tcPr>
          <w:tcW w:w="3020" w:type="dxa"/>
        </w:tcPr>
        <w:p w14:paraId="2023B5D4" w14:textId="49F6A7F8" w:rsidR="00A257C9" w:rsidRDefault="00A257C9">
          <w:pPr>
            <w:pStyle w:val="Fuzeile"/>
            <w:rPr>
              <w:rFonts w:cs="Arial"/>
              <w:sz w:val="20"/>
              <w:szCs w:val="20"/>
            </w:rPr>
          </w:pPr>
          <w:r>
            <w:rPr>
              <w:rFonts w:cs="Arial"/>
              <w:sz w:val="20"/>
              <w:szCs w:val="20"/>
            </w:rPr>
            <w:t xml:space="preserve">Erstellt durch: Autor  </w:t>
          </w:r>
        </w:p>
        <w:p w14:paraId="1503572A" w14:textId="77777777" w:rsidR="00A257C9" w:rsidRDefault="00A257C9">
          <w:pPr>
            <w:pStyle w:val="Fuzeile"/>
            <w:rPr>
              <w:rFonts w:cs="Arial"/>
              <w:sz w:val="20"/>
              <w:szCs w:val="20"/>
            </w:rPr>
          </w:pPr>
          <w:r>
            <w:rPr>
              <w:rFonts w:cs="Arial"/>
              <w:sz w:val="20"/>
              <w:szCs w:val="20"/>
            </w:rPr>
            <w:t>Am: Erstelldatum</w:t>
          </w:r>
        </w:p>
      </w:tc>
      <w:tc>
        <w:tcPr>
          <w:tcW w:w="3020" w:type="dxa"/>
        </w:tcPr>
        <w:p w14:paraId="3C33B53C" w14:textId="77777777" w:rsidR="00A257C9" w:rsidRDefault="00A257C9">
          <w:pPr>
            <w:pStyle w:val="Fuzeile"/>
            <w:rPr>
              <w:rFonts w:cs="Arial"/>
              <w:sz w:val="20"/>
              <w:szCs w:val="20"/>
            </w:rPr>
          </w:pPr>
          <w:r>
            <w:rPr>
              <w:rFonts w:cs="Arial"/>
              <w:sz w:val="20"/>
              <w:szCs w:val="20"/>
            </w:rPr>
            <w:t xml:space="preserve">Prüfung durch: Prüfer  </w:t>
          </w:r>
        </w:p>
        <w:p w14:paraId="26BC8382" w14:textId="77777777" w:rsidR="00A257C9" w:rsidRDefault="00A257C9">
          <w:pPr>
            <w:pStyle w:val="Fuzeile"/>
            <w:rPr>
              <w:rFonts w:cs="Arial"/>
              <w:sz w:val="20"/>
              <w:szCs w:val="20"/>
            </w:rPr>
          </w:pPr>
          <w:r>
            <w:rPr>
              <w:rFonts w:cs="Arial"/>
              <w:sz w:val="20"/>
              <w:szCs w:val="20"/>
            </w:rPr>
            <w:t xml:space="preserve">Am: Prüfdatum  </w:t>
          </w:r>
        </w:p>
      </w:tc>
      <w:tc>
        <w:tcPr>
          <w:tcW w:w="3020" w:type="dxa"/>
        </w:tcPr>
        <w:p w14:paraId="290DDB5C" w14:textId="77777777" w:rsidR="00A257C9" w:rsidRDefault="00A257C9">
          <w:pPr>
            <w:pStyle w:val="Fuzeile"/>
            <w:rPr>
              <w:rFonts w:cs="Arial"/>
              <w:sz w:val="20"/>
              <w:szCs w:val="20"/>
            </w:rPr>
          </w:pPr>
          <w:r>
            <w:rPr>
              <w:rFonts w:cs="Arial"/>
              <w:sz w:val="20"/>
              <w:szCs w:val="20"/>
            </w:rPr>
            <w:t xml:space="preserve">Freigabe durch: Freigeber  </w:t>
          </w:r>
        </w:p>
        <w:p w14:paraId="13A516B1" w14:textId="77777777" w:rsidR="00A257C9" w:rsidRDefault="00A257C9">
          <w:pPr>
            <w:pStyle w:val="Fuzeile"/>
            <w:rPr>
              <w:rFonts w:cs="Arial"/>
              <w:sz w:val="20"/>
              <w:szCs w:val="20"/>
            </w:rPr>
          </w:pPr>
          <w:r>
            <w:rPr>
              <w:rFonts w:cs="Arial"/>
              <w:sz w:val="20"/>
              <w:szCs w:val="20"/>
            </w:rPr>
            <w:t xml:space="preserve">Am: Freigabedatum  </w:t>
          </w:r>
        </w:p>
      </w:tc>
    </w:tr>
  </w:tbl>
  <w:p w14:paraId="05015B99" w14:textId="698BB3B3" w:rsidR="00A257C9" w:rsidRDefault="00A257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A257C9" w:rsidRDefault="00A257C9">
      <w:pPr>
        <w:spacing w:after="0" w:line="240" w:lineRule="auto"/>
      </w:pPr>
      <w:r>
        <w:separator/>
      </w:r>
    </w:p>
  </w:footnote>
  <w:footnote w:type="continuationSeparator" w:id="0">
    <w:p w14:paraId="0F244342" w14:textId="77777777" w:rsidR="00A257C9" w:rsidRDefault="00A257C9">
      <w:pPr>
        <w:spacing w:after="0" w:line="240" w:lineRule="auto"/>
      </w:pPr>
      <w:r>
        <w:continuationSeparator/>
      </w:r>
    </w:p>
  </w:footnote>
  <w:footnote w:type="continuationNotice" w:id="1">
    <w:p w14:paraId="72818BC0" w14:textId="77777777" w:rsidR="00A257C9" w:rsidRDefault="00A25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jc w:val="center"/>
      <w:tblLayout w:type="fixed"/>
      <w:tblLook w:val="04A0" w:firstRow="1" w:lastRow="0" w:firstColumn="1" w:lastColumn="0" w:noHBand="0" w:noVBand="1"/>
    </w:tblPr>
    <w:tblGrid>
      <w:gridCol w:w="2268"/>
      <w:gridCol w:w="5070"/>
      <w:gridCol w:w="2442"/>
    </w:tblGrid>
    <w:tr w:rsidR="00A257C9" w14:paraId="70D52F6B" w14:textId="77777777" w:rsidTr="004121D0">
      <w:trPr>
        <w:jc w:val="center"/>
      </w:trPr>
      <w:tc>
        <w:tcPr>
          <w:tcW w:w="2268" w:type="dxa"/>
          <w:vAlign w:val="center"/>
        </w:tcPr>
        <w:p w14:paraId="4572639E" w14:textId="77777777" w:rsidR="00A257C9" w:rsidRDefault="00A257C9">
          <w:r>
            <w:rPr>
              <w:rFonts w:ascii="Courier New" w:hAnsi="Courier New"/>
              <w:noProof/>
              <w:sz w:val="22"/>
              <w:lang w:eastAsia="de-DE"/>
            </w:rPr>
            <w:drawing>
              <wp:inline distT="0" distB="0" distL="0" distR="0" wp14:anchorId="3D890179" wp14:editId="4C0A647C">
                <wp:extent cx="1337244" cy="306956"/>
                <wp:effectExtent l="0" t="0" r="0" b="0"/>
                <wp:docPr id="18" name="Grafik 18"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16C98FC" w:rsidR="00A257C9" w:rsidRDefault="00A257C9">
          <w:pPr>
            <w:pStyle w:val="Kopfzeile"/>
            <w:jc w:val="center"/>
            <w:rPr>
              <w:b/>
            </w:rPr>
          </w:pPr>
          <w:bookmarkStart w:id="1" w:name="Dokumententitel"/>
          <w:r>
            <w:rPr>
              <w:b/>
            </w:rPr>
            <w:t>PEPP Entgelttarif - Bezirksklinikum Obermain</w:t>
          </w:r>
          <w:bookmarkEnd w:id="1"/>
        </w:p>
      </w:tc>
      <w:tc>
        <w:tcPr>
          <w:tcW w:w="2442" w:type="dxa"/>
        </w:tcPr>
        <w:p w14:paraId="383513E3" w14:textId="352848F4" w:rsidR="00A257C9" w:rsidRDefault="00A257C9">
          <w:pPr>
            <w:pStyle w:val="Kopfzeile"/>
            <w:rPr>
              <w:sz w:val="16"/>
              <w:szCs w:val="20"/>
            </w:rPr>
          </w:pPr>
          <w:bookmarkStart w:id="2" w:name="Dokumentenart"/>
          <w:r>
            <w:rPr>
              <w:sz w:val="16"/>
              <w:szCs w:val="20"/>
            </w:rPr>
            <w:t>Organisationsverfügung</w:t>
          </w:r>
          <w:bookmarkEnd w:id="2"/>
          <w:r>
            <w:rPr>
              <w:sz w:val="16"/>
              <w:szCs w:val="20"/>
            </w:rPr>
            <w:t xml:space="preserve"> </w:t>
          </w:r>
        </w:p>
        <w:p w14:paraId="6748C41A" w14:textId="77777777" w:rsidR="00A257C9" w:rsidRDefault="00A257C9">
          <w:pPr>
            <w:pStyle w:val="Kopfzeile"/>
            <w:rPr>
              <w:sz w:val="12"/>
              <w:szCs w:val="20"/>
            </w:rPr>
          </w:pPr>
        </w:p>
        <w:p w14:paraId="6D981513" w14:textId="2FD2ADBB" w:rsidR="00A257C9" w:rsidRDefault="00A257C9">
          <w:pPr>
            <w:pStyle w:val="Kopfzeile"/>
            <w:rPr>
              <w:sz w:val="16"/>
              <w:szCs w:val="20"/>
            </w:rPr>
          </w:pPr>
          <w:r>
            <w:rPr>
              <w:sz w:val="16"/>
              <w:szCs w:val="20"/>
            </w:rPr>
            <w:t xml:space="preserve">Revision: </w:t>
          </w:r>
          <w:bookmarkStart w:id="3" w:name="Revision"/>
          <w:r>
            <w:rPr>
              <w:sz w:val="16"/>
              <w:szCs w:val="20"/>
            </w:rPr>
            <w:t>4</w:t>
          </w:r>
          <w:bookmarkEnd w:id="3"/>
          <w:r w:rsidR="0036353B">
            <w:rPr>
              <w:sz w:val="16"/>
              <w:szCs w:val="20"/>
            </w:rPr>
            <w:t>4</w:t>
          </w:r>
          <w:r>
            <w:rPr>
              <w:sz w:val="16"/>
              <w:szCs w:val="20"/>
            </w:rPr>
            <w:t xml:space="preserve"> </w:t>
          </w:r>
        </w:p>
        <w:p w14:paraId="7E6D6EDD" w14:textId="77777777" w:rsidR="00A257C9" w:rsidRDefault="00A257C9">
          <w:pPr>
            <w:pStyle w:val="Kopfzeile"/>
            <w:rPr>
              <w:sz w:val="12"/>
              <w:szCs w:val="20"/>
            </w:rPr>
          </w:pPr>
        </w:p>
        <w:p w14:paraId="474302F4" w14:textId="6205AAC6" w:rsidR="00A257C9" w:rsidRDefault="00A257C9">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36353B">
            <w:rPr>
              <w:noProof/>
              <w:sz w:val="16"/>
              <w:szCs w:val="20"/>
            </w:rPr>
            <w:t>2</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36353B">
            <w:rPr>
              <w:noProof/>
              <w:sz w:val="16"/>
              <w:szCs w:val="20"/>
            </w:rPr>
            <w:t>3</w:t>
          </w:r>
          <w:r>
            <w:rPr>
              <w:sz w:val="16"/>
              <w:szCs w:val="20"/>
            </w:rPr>
            <w:fldChar w:fldCharType="end"/>
          </w:r>
        </w:p>
      </w:tc>
    </w:tr>
  </w:tbl>
  <w:p w14:paraId="5A47489C" w14:textId="77777777" w:rsidR="00A257C9" w:rsidRDefault="00A257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A257C9" w14:paraId="51DF6ABB" w14:textId="77777777">
      <w:tc>
        <w:tcPr>
          <w:tcW w:w="1696" w:type="dxa"/>
          <w:vAlign w:val="center"/>
        </w:tcPr>
        <w:p w14:paraId="3CA5051A" w14:textId="77777777" w:rsidR="00A257C9" w:rsidRDefault="00A257C9">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A257C9" w:rsidRDefault="00A257C9">
          <w:pPr>
            <w:pStyle w:val="Kopfzeile"/>
            <w:spacing w:after="120"/>
            <w:jc w:val="center"/>
            <w:rPr>
              <w:rFonts w:cs="Arial"/>
              <w:sz w:val="20"/>
            </w:rPr>
          </w:pPr>
          <w:r>
            <w:rPr>
              <w:rFonts w:cs="Arial"/>
              <w:sz w:val="20"/>
            </w:rPr>
            <w:t>Einrichtungsbezeichnung</w:t>
          </w:r>
        </w:p>
        <w:p w14:paraId="1EC41724" w14:textId="227CD249" w:rsidR="00A257C9" w:rsidRDefault="00A257C9">
          <w:pPr>
            <w:pStyle w:val="Kopfzeile"/>
            <w:spacing w:after="120"/>
            <w:jc w:val="center"/>
            <w:rPr>
              <w:rFonts w:cs="Arial"/>
              <w:b/>
            </w:rPr>
          </w:pPr>
          <w:r>
            <w:rPr>
              <w:rFonts w:cs="Arial"/>
              <w:b/>
            </w:rPr>
            <w:t>Dokumententitel</w:t>
          </w:r>
        </w:p>
      </w:tc>
      <w:tc>
        <w:tcPr>
          <w:tcW w:w="1835" w:type="dxa"/>
        </w:tcPr>
        <w:p w14:paraId="63B89293" w14:textId="77777777" w:rsidR="00A257C9" w:rsidRDefault="00A257C9">
          <w:pPr>
            <w:pStyle w:val="Kopfzeile"/>
            <w:rPr>
              <w:rFonts w:cs="Arial"/>
              <w:sz w:val="18"/>
            </w:rPr>
          </w:pPr>
          <w:r>
            <w:rPr>
              <w:rFonts w:cs="Arial"/>
              <w:sz w:val="18"/>
            </w:rPr>
            <w:t xml:space="preserve">Dokumentenart  </w:t>
          </w:r>
        </w:p>
        <w:p w14:paraId="3ADBEAB8" w14:textId="77777777" w:rsidR="00A257C9" w:rsidRDefault="00A257C9">
          <w:pPr>
            <w:pStyle w:val="Kopfzeile"/>
            <w:rPr>
              <w:rFonts w:cs="Arial"/>
              <w:sz w:val="18"/>
            </w:rPr>
          </w:pPr>
        </w:p>
        <w:p w14:paraId="21C85C1A" w14:textId="77777777" w:rsidR="00A257C9" w:rsidRDefault="00A257C9">
          <w:pPr>
            <w:pStyle w:val="Kopfzeile"/>
            <w:rPr>
              <w:rFonts w:cs="Arial"/>
              <w:sz w:val="18"/>
            </w:rPr>
          </w:pPr>
          <w:r>
            <w:rPr>
              <w:rFonts w:cs="Arial"/>
              <w:sz w:val="18"/>
            </w:rPr>
            <w:t xml:space="preserve">Revision: xx  </w:t>
          </w:r>
        </w:p>
        <w:p w14:paraId="1E822152" w14:textId="77777777" w:rsidR="00A257C9" w:rsidRDefault="00A257C9">
          <w:pPr>
            <w:pStyle w:val="Kopfzeile"/>
            <w:rPr>
              <w:rFonts w:cs="Arial"/>
              <w:sz w:val="18"/>
            </w:rPr>
          </w:pPr>
        </w:p>
        <w:p w14:paraId="01451265" w14:textId="7ACC5AE2" w:rsidR="00A257C9" w:rsidRDefault="00A257C9">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sidR="0036353B">
            <w:rPr>
              <w:rFonts w:cs="Arial"/>
              <w:bCs/>
              <w:noProof/>
              <w:sz w:val="18"/>
            </w:rPr>
            <w:t>3</w:t>
          </w:r>
          <w:r>
            <w:rPr>
              <w:rFonts w:cs="Arial"/>
              <w:bCs/>
              <w:sz w:val="18"/>
            </w:rPr>
            <w:fldChar w:fldCharType="end"/>
          </w:r>
        </w:p>
      </w:tc>
    </w:tr>
  </w:tbl>
  <w:p w14:paraId="75A9BE53" w14:textId="621CE61D" w:rsidR="00A257C9" w:rsidRDefault="00A257C9">
    <w:pPr>
      <w:pStyle w:val="Kopfzeile"/>
      <w:rPr>
        <w:rFonts w:cs="Arial"/>
        <w:sz w:val="18"/>
      </w:rPr>
    </w:pPr>
  </w:p>
  <w:p w14:paraId="2089661A" w14:textId="77777777" w:rsidR="00A257C9" w:rsidRDefault="00A257C9">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56413CD"/>
    <w:multiLevelType w:val="hybridMultilevel"/>
    <w:tmpl w:val="CA72177E"/>
    <w:lvl w:ilvl="0" w:tplc="E9D05CF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68C"/>
    <w:rsid w:val="00005884"/>
    <w:rsid w:val="000058F1"/>
    <w:rsid w:val="000065E3"/>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4EB2"/>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3BE5"/>
    <w:rsid w:val="000950FF"/>
    <w:rsid w:val="000954C9"/>
    <w:rsid w:val="000956BE"/>
    <w:rsid w:val="000957CB"/>
    <w:rsid w:val="00095CF0"/>
    <w:rsid w:val="00095DA2"/>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64D6"/>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131"/>
    <w:rsid w:val="001003E0"/>
    <w:rsid w:val="00100741"/>
    <w:rsid w:val="00100794"/>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51C7"/>
    <w:rsid w:val="00115F1D"/>
    <w:rsid w:val="00116095"/>
    <w:rsid w:val="00116C02"/>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40A7E"/>
    <w:rsid w:val="00141376"/>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55A7"/>
    <w:rsid w:val="001558EF"/>
    <w:rsid w:val="00156F66"/>
    <w:rsid w:val="001610AA"/>
    <w:rsid w:val="0016120C"/>
    <w:rsid w:val="001612E4"/>
    <w:rsid w:val="00161339"/>
    <w:rsid w:val="001619F6"/>
    <w:rsid w:val="00161B0D"/>
    <w:rsid w:val="00162C31"/>
    <w:rsid w:val="001633DB"/>
    <w:rsid w:val="00163482"/>
    <w:rsid w:val="00163FD5"/>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02D"/>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507A"/>
    <w:rsid w:val="00185C46"/>
    <w:rsid w:val="00186216"/>
    <w:rsid w:val="001863EA"/>
    <w:rsid w:val="001868AD"/>
    <w:rsid w:val="001869DD"/>
    <w:rsid w:val="00186ACD"/>
    <w:rsid w:val="00187035"/>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5EA6"/>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01EB"/>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3B5"/>
    <w:rsid w:val="001F2469"/>
    <w:rsid w:val="001F295C"/>
    <w:rsid w:val="001F377F"/>
    <w:rsid w:val="001F38D8"/>
    <w:rsid w:val="001F44D5"/>
    <w:rsid w:val="001F47EC"/>
    <w:rsid w:val="001F4931"/>
    <w:rsid w:val="001F5958"/>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1F26"/>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384"/>
    <w:rsid w:val="00263AED"/>
    <w:rsid w:val="00264258"/>
    <w:rsid w:val="0026473B"/>
    <w:rsid w:val="00264A7E"/>
    <w:rsid w:val="00264E22"/>
    <w:rsid w:val="00264E80"/>
    <w:rsid w:val="00265B1B"/>
    <w:rsid w:val="00265EBF"/>
    <w:rsid w:val="002671DE"/>
    <w:rsid w:val="00267586"/>
    <w:rsid w:val="00270262"/>
    <w:rsid w:val="00270B62"/>
    <w:rsid w:val="002713D9"/>
    <w:rsid w:val="00271482"/>
    <w:rsid w:val="0027159F"/>
    <w:rsid w:val="002715A4"/>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5051"/>
    <w:rsid w:val="002856B9"/>
    <w:rsid w:val="00286AE0"/>
    <w:rsid w:val="00290A92"/>
    <w:rsid w:val="00290AAD"/>
    <w:rsid w:val="00291015"/>
    <w:rsid w:val="00292E1B"/>
    <w:rsid w:val="002931D7"/>
    <w:rsid w:val="002938D7"/>
    <w:rsid w:val="0029474C"/>
    <w:rsid w:val="00294BEC"/>
    <w:rsid w:val="00294F3C"/>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D7ED0"/>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6D36"/>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13EE"/>
    <w:rsid w:val="003416D1"/>
    <w:rsid w:val="00341ADB"/>
    <w:rsid w:val="00343772"/>
    <w:rsid w:val="00343B71"/>
    <w:rsid w:val="00343C95"/>
    <w:rsid w:val="0034420B"/>
    <w:rsid w:val="00344616"/>
    <w:rsid w:val="003456D1"/>
    <w:rsid w:val="00350103"/>
    <w:rsid w:val="0035094B"/>
    <w:rsid w:val="0035170B"/>
    <w:rsid w:val="003524ED"/>
    <w:rsid w:val="00352DF1"/>
    <w:rsid w:val="003533EA"/>
    <w:rsid w:val="003544F7"/>
    <w:rsid w:val="00355DD5"/>
    <w:rsid w:val="00356CC8"/>
    <w:rsid w:val="00357830"/>
    <w:rsid w:val="00357BEA"/>
    <w:rsid w:val="00357F1F"/>
    <w:rsid w:val="00357FB6"/>
    <w:rsid w:val="00360ECD"/>
    <w:rsid w:val="003611CC"/>
    <w:rsid w:val="003624C3"/>
    <w:rsid w:val="00362E19"/>
    <w:rsid w:val="0036353B"/>
    <w:rsid w:val="00363A18"/>
    <w:rsid w:val="00364415"/>
    <w:rsid w:val="00364F0B"/>
    <w:rsid w:val="00367CEB"/>
    <w:rsid w:val="003708AB"/>
    <w:rsid w:val="0037100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2784"/>
    <w:rsid w:val="00383467"/>
    <w:rsid w:val="00385A2C"/>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B20"/>
    <w:rsid w:val="003A4CBC"/>
    <w:rsid w:val="003A6580"/>
    <w:rsid w:val="003A6EC0"/>
    <w:rsid w:val="003A7D88"/>
    <w:rsid w:val="003A7E5E"/>
    <w:rsid w:val="003A7ECD"/>
    <w:rsid w:val="003B084E"/>
    <w:rsid w:val="003B186B"/>
    <w:rsid w:val="003B1CB5"/>
    <w:rsid w:val="003B259B"/>
    <w:rsid w:val="003B2BC7"/>
    <w:rsid w:val="003B2C92"/>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4142"/>
    <w:rsid w:val="00404263"/>
    <w:rsid w:val="00404829"/>
    <w:rsid w:val="004064DB"/>
    <w:rsid w:val="00406F05"/>
    <w:rsid w:val="0040709E"/>
    <w:rsid w:val="0040737A"/>
    <w:rsid w:val="00407B67"/>
    <w:rsid w:val="00407C8E"/>
    <w:rsid w:val="004105B0"/>
    <w:rsid w:val="004105E1"/>
    <w:rsid w:val="00410661"/>
    <w:rsid w:val="0041069D"/>
    <w:rsid w:val="00410B32"/>
    <w:rsid w:val="004111D3"/>
    <w:rsid w:val="004121D0"/>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73DB"/>
    <w:rsid w:val="0042778B"/>
    <w:rsid w:val="004300D4"/>
    <w:rsid w:val="004301CC"/>
    <w:rsid w:val="004307E0"/>
    <w:rsid w:val="0043107E"/>
    <w:rsid w:val="004312BF"/>
    <w:rsid w:val="00431C9A"/>
    <w:rsid w:val="004322A8"/>
    <w:rsid w:val="00433D1A"/>
    <w:rsid w:val="00434200"/>
    <w:rsid w:val="0043557A"/>
    <w:rsid w:val="00435B19"/>
    <w:rsid w:val="00435C9C"/>
    <w:rsid w:val="00435F66"/>
    <w:rsid w:val="0043649B"/>
    <w:rsid w:val="0043692F"/>
    <w:rsid w:val="00436B48"/>
    <w:rsid w:val="00437335"/>
    <w:rsid w:val="00437766"/>
    <w:rsid w:val="00437D18"/>
    <w:rsid w:val="0044003A"/>
    <w:rsid w:val="00444155"/>
    <w:rsid w:val="004443BE"/>
    <w:rsid w:val="004448EC"/>
    <w:rsid w:val="004460F5"/>
    <w:rsid w:val="00446142"/>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C60"/>
    <w:rsid w:val="00472DCE"/>
    <w:rsid w:val="00472FA2"/>
    <w:rsid w:val="00472FED"/>
    <w:rsid w:val="004730F4"/>
    <w:rsid w:val="004732A2"/>
    <w:rsid w:val="00474390"/>
    <w:rsid w:val="0047578F"/>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5C7"/>
    <w:rsid w:val="00493905"/>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423"/>
    <w:rsid w:val="004C2A1C"/>
    <w:rsid w:val="004C2A2C"/>
    <w:rsid w:val="004C331F"/>
    <w:rsid w:val="004C3664"/>
    <w:rsid w:val="004C42A4"/>
    <w:rsid w:val="004C48CD"/>
    <w:rsid w:val="004C4C3B"/>
    <w:rsid w:val="004C539B"/>
    <w:rsid w:val="004C57A0"/>
    <w:rsid w:val="004C5F25"/>
    <w:rsid w:val="004C64B3"/>
    <w:rsid w:val="004C681C"/>
    <w:rsid w:val="004C712E"/>
    <w:rsid w:val="004C78C3"/>
    <w:rsid w:val="004C7AB8"/>
    <w:rsid w:val="004C7C9E"/>
    <w:rsid w:val="004D0D50"/>
    <w:rsid w:val="004D0E6D"/>
    <w:rsid w:val="004D1C05"/>
    <w:rsid w:val="004D35A6"/>
    <w:rsid w:val="004D446B"/>
    <w:rsid w:val="004D53BE"/>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26B0"/>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2AD"/>
    <w:rsid w:val="005233A0"/>
    <w:rsid w:val="00523893"/>
    <w:rsid w:val="00524216"/>
    <w:rsid w:val="00524622"/>
    <w:rsid w:val="0052510F"/>
    <w:rsid w:val="00525385"/>
    <w:rsid w:val="005266A1"/>
    <w:rsid w:val="00526AD3"/>
    <w:rsid w:val="005278C2"/>
    <w:rsid w:val="00527E34"/>
    <w:rsid w:val="0053156F"/>
    <w:rsid w:val="00533851"/>
    <w:rsid w:val="0053440D"/>
    <w:rsid w:val="0053441A"/>
    <w:rsid w:val="00536D5E"/>
    <w:rsid w:val="00537581"/>
    <w:rsid w:val="005375CE"/>
    <w:rsid w:val="00537950"/>
    <w:rsid w:val="00537AC1"/>
    <w:rsid w:val="0054037F"/>
    <w:rsid w:val="00540507"/>
    <w:rsid w:val="005406A4"/>
    <w:rsid w:val="005413C7"/>
    <w:rsid w:val="005422BF"/>
    <w:rsid w:val="00544227"/>
    <w:rsid w:val="005447B4"/>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67F0B"/>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08C"/>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530B"/>
    <w:rsid w:val="005E579C"/>
    <w:rsid w:val="005E6180"/>
    <w:rsid w:val="005E666D"/>
    <w:rsid w:val="005E75D4"/>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9E7"/>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058"/>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2FE7"/>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A48"/>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916"/>
    <w:rsid w:val="006E0B74"/>
    <w:rsid w:val="006E1674"/>
    <w:rsid w:val="006E16A8"/>
    <w:rsid w:val="006E1F39"/>
    <w:rsid w:val="006E2799"/>
    <w:rsid w:val="006E2FD7"/>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4F2"/>
    <w:rsid w:val="00722AA6"/>
    <w:rsid w:val="00722EE4"/>
    <w:rsid w:val="00723248"/>
    <w:rsid w:val="00723E96"/>
    <w:rsid w:val="00723FC2"/>
    <w:rsid w:val="0072422D"/>
    <w:rsid w:val="00724713"/>
    <w:rsid w:val="00724AE3"/>
    <w:rsid w:val="00724D39"/>
    <w:rsid w:val="007257AF"/>
    <w:rsid w:val="007263E5"/>
    <w:rsid w:val="00726CE2"/>
    <w:rsid w:val="007279B4"/>
    <w:rsid w:val="007303C6"/>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37842"/>
    <w:rsid w:val="00740138"/>
    <w:rsid w:val="007402A9"/>
    <w:rsid w:val="0074042E"/>
    <w:rsid w:val="007416E7"/>
    <w:rsid w:val="0074196D"/>
    <w:rsid w:val="007423B0"/>
    <w:rsid w:val="007423FD"/>
    <w:rsid w:val="007428D7"/>
    <w:rsid w:val="0074368C"/>
    <w:rsid w:val="00745849"/>
    <w:rsid w:val="00750BC5"/>
    <w:rsid w:val="00753555"/>
    <w:rsid w:val="00753A9D"/>
    <w:rsid w:val="0075415B"/>
    <w:rsid w:val="00754ADC"/>
    <w:rsid w:val="00755753"/>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089"/>
    <w:rsid w:val="00790150"/>
    <w:rsid w:val="0079028D"/>
    <w:rsid w:val="0079081C"/>
    <w:rsid w:val="00790A44"/>
    <w:rsid w:val="00790F32"/>
    <w:rsid w:val="0079126D"/>
    <w:rsid w:val="007918FF"/>
    <w:rsid w:val="00791B03"/>
    <w:rsid w:val="00791D57"/>
    <w:rsid w:val="00791FC2"/>
    <w:rsid w:val="00791FEC"/>
    <w:rsid w:val="007925D3"/>
    <w:rsid w:val="007934D0"/>
    <w:rsid w:val="0079425E"/>
    <w:rsid w:val="0079478C"/>
    <w:rsid w:val="00794BFE"/>
    <w:rsid w:val="00794EED"/>
    <w:rsid w:val="00794F3A"/>
    <w:rsid w:val="00795761"/>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892"/>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E7386"/>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099"/>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56A5"/>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42B2"/>
    <w:rsid w:val="00856809"/>
    <w:rsid w:val="00857DF9"/>
    <w:rsid w:val="0086042A"/>
    <w:rsid w:val="00860EEB"/>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677"/>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5CF"/>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D20"/>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CE1"/>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2509"/>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277B"/>
    <w:rsid w:val="009841C2"/>
    <w:rsid w:val="0098463B"/>
    <w:rsid w:val="00984D20"/>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3645"/>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49"/>
    <w:rsid w:val="009A4EA1"/>
    <w:rsid w:val="009A5A15"/>
    <w:rsid w:val="009A5BB8"/>
    <w:rsid w:val="009A5C5F"/>
    <w:rsid w:val="009A5F0B"/>
    <w:rsid w:val="009A61D5"/>
    <w:rsid w:val="009A64AE"/>
    <w:rsid w:val="009A6FA6"/>
    <w:rsid w:val="009B163E"/>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40"/>
    <w:rsid w:val="009C2394"/>
    <w:rsid w:val="009C265A"/>
    <w:rsid w:val="009C3193"/>
    <w:rsid w:val="009C3B32"/>
    <w:rsid w:val="009C4371"/>
    <w:rsid w:val="009C4419"/>
    <w:rsid w:val="009C502C"/>
    <w:rsid w:val="009C5F2F"/>
    <w:rsid w:val="009C6CD8"/>
    <w:rsid w:val="009C6FAA"/>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3CDB"/>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27"/>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57C9"/>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37909"/>
    <w:rsid w:val="00A410F3"/>
    <w:rsid w:val="00A41310"/>
    <w:rsid w:val="00A41A1D"/>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A6C"/>
    <w:rsid w:val="00A60B04"/>
    <w:rsid w:val="00A61361"/>
    <w:rsid w:val="00A61A42"/>
    <w:rsid w:val="00A61CD3"/>
    <w:rsid w:val="00A625A3"/>
    <w:rsid w:val="00A630C2"/>
    <w:rsid w:val="00A630D2"/>
    <w:rsid w:val="00A63CE7"/>
    <w:rsid w:val="00A64F02"/>
    <w:rsid w:val="00A6560A"/>
    <w:rsid w:val="00A66C99"/>
    <w:rsid w:val="00A67927"/>
    <w:rsid w:val="00A708E0"/>
    <w:rsid w:val="00A723BB"/>
    <w:rsid w:val="00A727FB"/>
    <w:rsid w:val="00A72B41"/>
    <w:rsid w:val="00A72CD4"/>
    <w:rsid w:val="00A743D3"/>
    <w:rsid w:val="00A7506E"/>
    <w:rsid w:val="00A75A14"/>
    <w:rsid w:val="00A75C29"/>
    <w:rsid w:val="00A7637F"/>
    <w:rsid w:val="00A775C3"/>
    <w:rsid w:val="00A77C26"/>
    <w:rsid w:val="00A80225"/>
    <w:rsid w:val="00A80D70"/>
    <w:rsid w:val="00A8102F"/>
    <w:rsid w:val="00A8135A"/>
    <w:rsid w:val="00A8186F"/>
    <w:rsid w:val="00A8259D"/>
    <w:rsid w:val="00A82724"/>
    <w:rsid w:val="00A82AEE"/>
    <w:rsid w:val="00A82F13"/>
    <w:rsid w:val="00A8308F"/>
    <w:rsid w:val="00A834D8"/>
    <w:rsid w:val="00A83532"/>
    <w:rsid w:val="00A8438A"/>
    <w:rsid w:val="00A8466B"/>
    <w:rsid w:val="00A84C46"/>
    <w:rsid w:val="00A85500"/>
    <w:rsid w:val="00A864A3"/>
    <w:rsid w:val="00A87343"/>
    <w:rsid w:val="00A8772D"/>
    <w:rsid w:val="00A878E3"/>
    <w:rsid w:val="00A87C26"/>
    <w:rsid w:val="00A90ABF"/>
    <w:rsid w:val="00A90F2F"/>
    <w:rsid w:val="00A91070"/>
    <w:rsid w:val="00A91710"/>
    <w:rsid w:val="00A91BDA"/>
    <w:rsid w:val="00A91EC0"/>
    <w:rsid w:val="00A92B1F"/>
    <w:rsid w:val="00A92F0D"/>
    <w:rsid w:val="00A92F68"/>
    <w:rsid w:val="00A93761"/>
    <w:rsid w:val="00A93AC8"/>
    <w:rsid w:val="00A94311"/>
    <w:rsid w:val="00A94EAA"/>
    <w:rsid w:val="00A94EC4"/>
    <w:rsid w:val="00A955AF"/>
    <w:rsid w:val="00A96356"/>
    <w:rsid w:val="00A9643F"/>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16D"/>
    <w:rsid w:val="00AB3237"/>
    <w:rsid w:val="00AB33C1"/>
    <w:rsid w:val="00AB37A3"/>
    <w:rsid w:val="00AB4980"/>
    <w:rsid w:val="00AB49FC"/>
    <w:rsid w:val="00AB4BC1"/>
    <w:rsid w:val="00AB4FA4"/>
    <w:rsid w:val="00AB56E0"/>
    <w:rsid w:val="00AB5D93"/>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2F3"/>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EF7"/>
    <w:rsid w:val="00B23F4F"/>
    <w:rsid w:val="00B24DF3"/>
    <w:rsid w:val="00B2593C"/>
    <w:rsid w:val="00B2646D"/>
    <w:rsid w:val="00B268AF"/>
    <w:rsid w:val="00B26B47"/>
    <w:rsid w:val="00B26BE8"/>
    <w:rsid w:val="00B31C3B"/>
    <w:rsid w:val="00B32110"/>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1F5"/>
    <w:rsid w:val="00B641E5"/>
    <w:rsid w:val="00B643C9"/>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7C6E"/>
    <w:rsid w:val="00B77D0D"/>
    <w:rsid w:val="00B81365"/>
    <w:rsid w:val="00B82CF1"/>
    <w:rsid w:val="00B830ED"/>
    <w:rsid w:val="00B8326D"/>
    <w:rsid w:val="00B833C6"/>
    <w:rsid w:val="00B833EF"/>
    <w:rsid w:val="00B83698"/>
    <w:rsid w:val="00B840DC"/>
    <w:rsid w:val="00B844DB"/>
    <w:rsid w:val="00B84E1E"/>
    <w:rsid w:val="00B85D93"/>
    <w:rsid w:val="00B860FF"/>
    <w:rsid w:val="00B86496"/>
    <w:rsid w:val="00B86F4C"/>
    <w:rsid w:val="00B872FE"/>
    <w:rsid w:val="00B9085D"/>
    <w:rsid w:val="00B90F42"/>
    <w:rsid w:val="00B91BAE"/>
    <w:rsid w:val="00B92C99"/>
    <w:rsid w:val="00B92DF0"/>
    <w:rsid w:val="00B939ED"/>
    <w:rsid w:val="00B940D1"/>
    <w:rsid w:val="00B94B9B"/>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0EE"/>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C77"/>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399F"/>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3AF"/>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81E"/>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4EC0"/>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0B77"/>
    <w:rsid w:val="00C81E11"/>
    <w:rsid w:val="00C82679"/>
    <w:rsid w:val="00C827DB"/>
    <w:rsid w:val="00C84CCE"/>
    <w:rsid w:val="00C85AAE"/>
    <w:rsid w:val="00C85F81"/>
    <w:rsid w:val="00C8679F"/>
    <w:rsid w:val="00C8745C"/>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31B"/>
    <w:rsid w:val="00CB281D"/>
    <w:rsid w:val="00CB28D7"/>
    <w:rsid w:val="00CB3167"/>
    <w:rsid w:val="00CB4040"/>
    <w:rsid w:val="00CB5297"/>
    <w:rsid w:val="00CB529C"/>
    <w:rsid w:val="00CB5B27"/>
    <w:rsid w:val="00CB7766"/>
    <w:rsid w:val="00CB79E4"/>
    <w:rsid w:val="00CB7EC7"/>
    <w:rsid w:val="00CC0465"/>
    <w:rsid w:val="00CC1039"/>
    <w:rsid w:val="00CC12CA"/>
    <w:rsid w:val="00CC14EC"/>
    <w:rsid w:val="00CC15DE"/>
    <w:rsid w:val="00CC1653"/>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D7A"/>
    <w:rsid w:val="00CC739F"/>
    <w:rsid w:val="00CC7E40"/>
    <w:rsid w:val="00CD0107"/>
    <w:rsid w:val="00CD0208"/>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564"/>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38F"/>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471C"/>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1E3"/>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9C4"/>
    <w:rsid w:val="00DA1AD6"/>
    <w:rsid w:val="00DA1B32"/>
    <w:rsid w:val="00DA1BAE"/>
    <w:rsid w:val="00DA25A6"/>
    <w:rsid w:val="00DA2857"/>
    <w:rsid w:val="00DA3118"/>
    <w:rsid w:val="00DA318B"/>
    <w:rsid w:val="00DA3B42"/>
    <w:rsid w:val="00DA3D5A"/>
    <w:rsid w:val="00DA3F46"/>
    <w:rsid w:val="00DA49CB"/>
    <w:rsid w:val="00DA5992"/>
    <w:rsid w:val="00DA6187"/>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C7BAF"/>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1506"/>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2FF8"/>
    <w:rsid w:val="00E83244"/>
    <w:rsid w:val="00E8351F"/>
    <w:rsid w:val="00E85114"/>
    <w:rsid w:val="00E8531D"/>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F9C"/>
    <w:rsid w:val="00E97AB4"/>
    <w:rsid w:val="00E97D75"/>
    <w:rsid w:val="00EA0628"/>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6F3"/>
    <w:rsid w:val="00EC2ADF"/>
    <w:rsid w:val="00EC2B96"/>
    <w:rsid w:val="00EC373B"/>
    <w:rsid w:val="00EC3A6C"/>
    <w:rsid w:val="00EC4BD1"/>
    <w:rsid w:val="00EC4FC9"/>
    <w:rsid w:val="00EC5527"/>
    <w:rsid w:val="00EC5877"/>
    <w:rsid w:val="00EC6EA6"/>
    <w:rsid w:val="00EC7033"/>
    <w:rsid w:val="00EC7A57"/>
    <w:rsid w:val="00EC7D64"/>
    <w:rsid w:val="00ED105D"/>
    <w:rsid w:val="00ED133C"/>
    <w:rsid w:val="00ED1E38"/>
    <w:rsid w:val="00ED1F0F"/>
    <w:rsid w:val="00ED25A2"/>
    <w:rsid w:val="00ED2BC0"/>
    <w:rsid w:val="00ED3187"/>
    <w:rsid w:val="00ED38E5"/>
    <w:rsid w:val="00ED3CBA"/>
    <w:rsid w:val="00ED46A2"/>
    <w:rsid w:val="00ED46C0"/>
    <w:rsid w:val="00ED48C5"/>
    <w:rsid w:val="00ED5400"/>
    <w:rsid w:val="00ED556F"/>
    <w:rsid w:val="00ED5586"/>
    <w:rsid w:val="00ED7438"/>
    <w:rsid w:val="00ED7A86"/>
    <w:rsid w:val="00ED7D8E"/>
    <w:rsid w:val="00ED7DF3"/>
    <w:rsid w:val="00EE0CD9"/>
    <w:rsid w:val="00EE113A"/>
    <w:rsid w:val="00EE1A8C"/>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5F71"/>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08E"/>
    <w:rsid w:val="00F45A9B"/>
    <w:rsid w:val="00F45F82"/>
    <w:rsid w:val="00F464AB"/>
    <w:rsid w:val="00F470FB"/>
    <w:rsid w:val="00F4766C"/>
    <w:rsid w:val="00F50145"/>
    <w:rsid w:val="00F50280"/>
    <w:rsid w:val="00F50760"/>
    <w:rsid w:val="00F50A78"/>
    <w:rsid w:val="00F50C6C"/>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6E7E"/>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39"/>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0088D72"/>
  <w15:docId w15:val="{5A558A1C-3BD7-4050-83A6-18D4CD66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0056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semiHidde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BC5"/>
    <w:rPr>
      <w:rFonts w:ascii="Tahoma" w:eastAsiaTheme="minorEastAsia" w:hAnsi="Tahoma" w:cs="Tahoma"/>
      <w:sz w:val="16"/>
      <w:szCs w:val="16"/>
      <w:lang w:eastAsia="de-DE"/>
    </w:rPr>
  </w:style>
  <w:style w:type="table" w:styleId="Tabellenraster">
    <w:name w:val="Table Grid"/>
    <w:basedOn w:val="NormaleTabelle"/>
    <w:uiPriority w:val="59"/>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uiPriority w:val="9"/>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D13C8"/>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00568C"/>
    <w:rPr>
      <w:rFonts w:asciiTheme="majorHAnsi" w:eastAsiaTheme="majorEastAsia" w:hAnsiTheme="majorHAnsi" w:cstheme="majorBidi"/>
      <w:i/>
      <w:iCs/>
      <w:color w:val="365F91" w:themeColor="accent1" w:themeShade="BF"/>
    </w:rPr>
  </w:style>
  <w:style w:type="table" w:customStyle="1" w:styleId="Tabellenraster1">
    <w:name w:val="Tabellenraster1"/>
    <w:basedOn w:val="NormaleTabelle"/>
    <w:next w:val="Tabellenraster"/>
    <w:rsid w:val="0000568C"/>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EE1A8C"/>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1C01EB"/>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343772"/>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rsid w:val="005D308C"/>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B6892"/>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A85500"/>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rsid w:val="004121D0"/>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56F126D0-428C-48E6-89DB-E6ED13931A12}">
  <ds:schemaRefs>
    <ds:schemaRef ds:uri="http://schemas.openxmlformats.org/officeDocument/2006/bibliography"/>
  </ds:schemaRefs>
</ds:datastoreItem>
</file>

<file path=customXml/itemProps3.xml><?xml version="1.0" encoding="utf-8"?>
<ds:datastoreItem xmlns:ds="http://schemas.openxmlformats.org/officeDocument/2006/customXml" ds:itemID="{7DBEB401-49FD-48C8-AA71-DE7C010D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2895</Words>
  <Characters>18243</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PEPP Entgelttarif - Bezirksklinikum Obermain</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PEPP Entgelttarif - Bezirksklinikum Obermain</dc:title>
  <dc:subject/>
  <dc:creator>E. Mueller</dc:creator>
  <cp:keywords/>
  <dc:description/>
  <cp:lastModifiedBy>Daniel Seelmann</cp:lastModifiedBy>
  <cp:revision>82</cp:revision>
  <cp:lastPrinted>2025-09-24T10:04:00Z</cp:lastPrinted>
  <dcterms:created xsi:type="dcterms:W3CDTF">2024-09-30T08:32:00Z</dcterms:created>
  <dcterms:modified xsi:type="dcterms:W3CDTF">2025-09-24T10:04:00Z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4</vt:i4>
  </property>
  <property fmtid="{D5CDD505-2E9C-101B-9397-08002B2CF9AE}" pid="3" name="IsTemplate">
    <vt:bool>false</vt:bool>
  </property>
  <property fmtid="{D5CDD505-2E9C-101B-9397-08002B2CF9AE}" pid="4" name="ReleaseMode">
    <vt:i4>3</vt:i4>
  </property>
  <property fmtid="{D5CDD505-2E9C-101B-9397-08002B2CF9AE}" pid="5" name="QualidoURL">
    <vt:lpwstr>https://qualido.gebo-med.de/</vt:lpwstr>
  </property>
  <property fmtid="{D5CDD505-2E9C-101B-9397-08002B2CF9AE}" pid="6" name="Document">
    <vt:i4>4277</vt:i4>
  </property>
  <property fmtid="{D5CDD505-2E9C-101B-9397-08002B2CF9AE}" pid="7" name="DocumentRevision">
    <vt:i4>10648</vt:i4>
  </property>
  <property fmtid="{D5CDD505-2E9C-101B-9397-08002B2CF9AE}" pid="8" name="OpeningView">
    <vt:lpwstr>UserView</vt:lpwstr>
  </property>
  <property fmtid="{D5CDD505-2E9C-101B-9397-08002B2CF9AE}" pid="9" name="UniqueHash">
    <vt:lpwstr>334d524e96ea16d1cd757fda335ec535</vt:lpwstr>
  </property>
  <property fmtid="{D5CDD505-2E9C-101B-9397-08002B2CF9AE}" pid="10" name="DocumentTitle">
    <vt:lpwstr>PEPP Entgelttarif - Bezirksklinikum Obermain</vt:lpwstr>
  </property>
  <property fmtid="{D5CDD505-2E9C-101B-9397-08002B2CF9AE}" pid="11" name="DocumentDescription">
    <vt:lpwstr>Organisationsverfügung</vt:lpwstr>
  </property>
  <property fmtid="{D5CDD505-2E9C-101B-9397-08002B2CF9AE}" pid="12" name="DocumentNumber">
    <vt:lpwstr>4277.30.Q</vt:lpwstr>
  </property>
  <property fmtid="{D5CDD505-2E9C-101B-9397-08002B2CF9AE}" pid="13" name="Filename">
    <vt:lpwstr>ov_4277_pepp_entgelttarif_bezirksklinikum_obermain</vt:lpwstr>
  </property>
  <property fmtid="{D5CDD505-2E9C-101B-9397-08002B2CF9AE}" pid="14" name="Institution">
    <vt:lpwstr>Bezirksklinikum Obermain</vt:lpwstr>
  </property>
  <property fmtid="{D5CDD505-2E9C-101B-9397-08002B2CF9AE}" pid="15" name="Comment">
    <vt:lpwstr>Entgeltwechsel zum 1.7.2021</vt:lpwstr>
  </property>
  <property fmtid="{D5CDD505-2E9C-101B-9397-08002B2CF9AE}" pid="16" name="Revision">
    <vt:lpwstr>30</vt:lpwstr>
  </property>
  <property fmtid="{D5CDD505-2E9C-101B-9397-08002B2CF9AE}" pid="17" name="Authors">
    <vt:lpwstr>E. Mueller</vt:lpwstr>
  </property>
  <property fmtid="{D5CDD505-2E9C-101B-9397-08002B2CF9AE}" pid="18" name="Auditors">
    <vt:lpwstr>J. Mehr</vt:lpwstr>
  </property>
  <property fmtid="{D5CDD505-2E9C-101B-9397-08002B2CF9AE}" pid="19" name="ReleaseBy">
    <vt:lpwstr>B. Gehringer</vt:lpwstr>
  </property>
  <property fmtid="{D5CDD505-2E9C-101B-9397-08002B2CF9AE}" pid="20" name="UserString">
    <vt:lpwstr>B. Gehringer</vt:lpwstr>
  </property>
  <property fmtid="{D5CDD505-2E9C-101B-9397-08002B2CF9AE}" pid="21" name="CreationDate">
    <vt:lpwstr>07.07.2021</vt:lpwstr>
  </property>
  <property fmtid="{D5CDD505-2E9C-101B-9397-08002B2CF9AE}" pid="22" name="CheckDate">
    <vt:lpwstr>07.07.2021</vt:lpwstr>
  </property>
  <property fmtid="{D5CDD505-2E9C-101B-9397-08002B2CF9AE}" pid="23" name="PrevDocumentRevision">
    <vt:lpwstr>NewRevision</vt:lpwstr>
  </property>
  <property fmtid="{D5CDD505-2E9C-101B-9397-08002B2CF9AE}" pid="24" name="AuditorEdit">
    <vt:lpwstr>allow</vt:lpwstr>
  </property>
  <property fmtid="{D5CDD505-2E9C-101B-9397-08002B2CF9AE}" pid="25" name="ValidFrom">
    <vt:lpwstr>07.07.2021</vt:lpwstr>
  </property>
  <property fmtid="{D5CDD505-2E9C-101B-9397-08002B2CF9AE}" pid="26" name="PHPSessionID">
    <vt:lpwstr>gt4o9i3l8qc5sq7tebhburqg7s414e9q</vt:lpwstr>
  </property>
  <property fmtid="{D5CDD505-2E9C-101B-9397-08002B2CF9AE}" pid="27" name="LastEditorName">
    <vt:lpwstr>Bernhardt Gehringer</vt:lpwstr>
  </property>
  <property fmtid="{D5CDD505-2E9C-101B-9397-08002B2CF9AE}" pid="28" name="CheckInterval">
    <vt:lpwstr>36</vt:lpwstr>
  </property>
  <property fmtid="{D5CDD505-2E9C-101B-9397-08002B2CF9AE}" pid="29" name="ValidTo">
    <vt:lpwstr>unbegrenzt</vt:lpwstr>
  </property>
</Properties>
</file>