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B0237" w:rsidRPr="008B0237" w14:paraId="1BD9E54A" w14:textId="77777777" w:rsidTr="004A3D31">
        <w:tc>
          <w:tcPr>
            <w:tcW w:w="10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72E3F" w14:textId="77777777" w:rsidR="008B0237" w:rsidRPr="008B0237" w:rsidRDefault="008B0237" w:rsidP="008B0237">
            <w:pPr>
              <w:tabs>
                <w:tab w:val="left" w:pos="141"/>
                <w:tab w:val="center" w:pos="4536"/>
                <w:tab w:val="right" w:pos="9072"/>
              </w:tabs>
              <w:spacing w:after="0" w:line="240" w:lineRule="auto"/>
              <w:rPr>
                <w:rFonts w:eastAsia="Times New Roman" w:cs="Arial"/>
                <w:bCs/>
                <w:color w:val="auto"/>
                <w:sz w:val="2"/>
                <w:szCs w:val="2"/>
                <w:lang w:eastAsia="de-DE"/>
              </w:rPr>
            </w:pPr>
          </w:p>
          <w:p w14:paraId="5905FDBA" w14:textId="77777777" w:rsidR="008B0237" w:rsidRPr="008B0237" w:rsidRDefault="008B0237" w:rsidP="008B0237">
            <w:pPr>
              <w:tabs>
                <w:tab w:val="left" w:pos="708"/>
                <w:tab w:val="center" w:pos="4536"/>
                <w:tab w:val="right" w:pos="9072"/>
              </w:tabs>
              <w:spacing w:after="0" w:line="240" w:lineRule="auto"/>
              <w:rPr>
                <w:rFonts w:eastAsia="Times New Roman" w:cs="Arial"/>
                <w:b/>
                <w:bCs/>
                <w:color w:val="auto"/>
                <w:sz w:val="22"/>
                <w:szCs w:val="22"/>
                <w:lang w:eastAsia="de-DE"/>
              </w:rPr>
            </w:pPr>
            <w:r w:rsidRPr="008B0237">
              <w:rPr>
                <w:rFonts w:eastAsia="Times New Roman" w:cs="Arial"/>
                <w:b/>
                <w:bCs/>
                <w:color w:val="auto"/>
                <w:sz w:val="22"/>
                <w:szCs w:val="22"/>
                <w:lang w:eastAsia="de-DE"/>
              </w:rPr>
              <w:t>DRG-Entgelttarif für das Bezirksklinikum Obermain im Anwendungsbereich des KHEntgG</w:t>
            </w:r>
          </w:p>
          <w:p w14:paraId="55E3B66A" w14:textId="77777777" w:rsidR="008B0237" w:rsidRPr="008B0237" w:rsidRDefault="008B0237" w:rsidP="008B0237">
            <w:pPr>
              <w:tabs>
                <w:tab w:val="left" w:pos="708"/>
                <w:tab w:val="center" w:pos="4536"/>
                <w:tab w:val="right" w:pos="9072"/>
              </w:tabs>
              <w:spacing w:after="0" w:line="240" w:lineRule="auto"/>
              <w:rPr>
                <w:rFonts w:eastAsia="Times New Roman" w:cs="Arial"/>
                <w:b/>
                <w:bCs/>
                <w:color w:val="auto"/>
                <w:sz w:val="18"/>
                <w:szCs w:val="18"/>
                <w:lang w:eastAsia="de-DE"/>
              </w:rPr>
            </w:pPr>
            <w:r w:rsidRPr="008B0237">
              <w:rPr>
                <w:rFonts w:eastAsia="Times New Roman" w:cs="Arial"/>
                <w:color w:val="auto"/>
                <w:sz w:val="18"/>
                <w:szCs w:val="18"/>
                <w:lang w:eastAsia="de-DE"/>
              </w:rPr>
              <w:t>und Unterrichtung des Patienten gemäß § 8 KHEntgG für das Bezirksklinikum Obermain, Kutzenberg, 96250 Ebensfeld</w:t>
            </w:r>
          </w:p>
        </w:tc>
      </w:tr>
    </w:tbl>
    <w:p w14:paraId="113E0720" w14:textId="77777777" w:rsidR="008B0237" w:rsidRPr="008B0237" w:rsidRDefault="008B0237" w:rsidP="008B0237">
      <w:pPr>
        <w:autoSpaceDE w:val="0"/>
        <w:autoSpaceDN w:val="0"/>
        <w:adjustRightInd w:val="0"/>
        <w:spacing w:after="0" w:line="240" w:lineRule="auto"/>
        <w:ind w:left="-567" w:right="-568"/>
        <w:jc w:val="both"/>
        <w:rPr>
          <w:rFonts w:eastAsia="Times New Roman" w:cs="Arial"/>
          <w:b/>
          <w:bCs/>
          <w:color w:val="auto"/>
          <w:sz w:val="4"/>
          <w:szCs w:val="4"/>
          <w:lang w:eastAsia="de-DE"/>
        </w:rPr>
      </w:pPr>
    </w:p>
    <w:p w14:paraId="13A415CB" w14:textId="247FA671" w:rsidR="008B0237" w:rsidRPr="008B0237" w:rsidRDefault="008B0237" w:rsidP="008B0237">
      <w:pPr>
        <w:autoSpaceDE w:val="0"/>
        <w:autoSpaceDN w:val="0"/>
        <w:adjustRightInd w:val="0"/>
        <w:spacing w:after="0" w:line="240" w:lineRule="auto"/>
        <w:ind w:left="-567" w:right="-568"/>
        <w:jc w:val="both"/>
        <w:rPr>
          <w:rFonts w:eastAsia="Times New Roman" w:cs="Arial"/>
          <w:b/>
          <w:bCs/>
          <w:color w:val="auto"/>
          <w:sz w:val="20"/>
          <w:szCs w:val="20"/>
          <w:lang w:eastAsia="de-DE"/>
        </w:rPr>
      </w:pPr>
      <w:r w:rsidRPr="008B0237">
        <w:rPr>
          <w:rFonts w:eastAsia="Times New Roman" w:cs="Arial"/>
          <w:b/>
          <w:bCs/>
          <w:color w:val="auto"/>
          <w:sz w:val="20"/>
          <w:szCs w:val="20"/>
          <w:lang w:eastAsia="de-DE"/>
        </w:rPr>
        <w:t xml:space="preserve">Das Bezirksklinikum Obermain (Vorstand </w:t>
      </w:r>
      <w:r w:rsidR="003D6779">
        <w:rPr>
          <w:rFonts w:eastAsia="Times New Roman" w:cs="Arial"/>
          <w:b/>
          <w:bCs/>
          <w:color w:val="auto"/>
          <w:sz w:val="20"/>
          <w:szCs w:val="20"/>
          <w:lang w:eastAsia="de-DE"/>
        </w:rPr>
        <w:t>Eva Gill</w:t>
      </w:r>
      <w:r w:rsidR="00481DBD">
        <w:rPr>
          <w:rFonts w:eastAsia="Times New Roman" w:cs="Arial"/>
          <w:b/>
          <w:bCs/>
          <w:color w:val="auto"/>
          <w:sz w:val="20"/>
          <w:szCs w:val="20"/>
          <w:lang w:eastAsia="de-DE"/>
        </w:rPr>
        <w:t>) berechnet ab dem 01.10</w:t>
      </w:r>
      <w:r w:rsidR="0081213F">
        <w:rPr>
          <w:rFonts w:eastAsia="Times New Roman" w:cs="Arial"/>
          <w:b/>
          <w:bCs/>
          <w:color w:val="auto"/>
          <w:sz w:val="20"/>
          <w:szCs w:val="20"/>
          <w:lang w:eastAsia="de-DE"/>
        </w:rPr>
        <w:t>.2025</w:t>
      </w:r>
      <w:r w:rsidRPr="008B0237">
        <w:rPr>
          <w:rFonts w:eastAsia="Times New Roman" w:cs="Arial"/>
          <w:b/>
          <w:bCs/>
          <w:color w:val="auto"/>
          <w:sz w:val="20"/>
          <w:szCs w:val="20"/>
          <w:lang w:eastAsia="de-DE"/>
        </w:rPr>
        <w:t xml:space="preserve"> folgende Entgelte</w:t>
      </w:r>
    </w:p>
    <w:p w14:paraId="18E4C4F2" w14:textId="77777777" w:rsidR="008B0237" w:rsidRPr="00107FCA" w:rsidRDefault="008B0237" w:rsidP="008B0237">
      <w:pPr>
        <w:keepNext/>
        <w:spacing w:after="0" w:line="240" w:lineRule="auto"/>
        <w:ind w:left="-567" w:right="-568"/>
        <w:jc w:val="both"/>
        <w:outlineLvl w:val="0"/>
        <w:rPr>
          <w:rFonts w:eastAsia="Times New Roman" w:cs="Arial"/>
          <w:b/>
          <w:color w:val="auto"/>
          <w:sz w:val="8"/>
          <w:szCs w:val="8"/>
          <w:lang w:eastAsia="de-DE"/>
        </w:rPr>
      </w:pPr>
    </w:p>
    <w:p w14:paraId="1B64343C" w14:textId="77777777" w:rsidR="008B0237" w:rsidRPr="008B0237" w:rsidRDefault="008B0237" w:rsidP="008B0237">
      <w:pPr>
        <w:keepNext/>
        <w:spacing w:after="0" w:line="240" w:lineRule="auto"/>
        <w:ind w:left="-567" w:right="-568"/>
        <w:jc w:val="both"/>
        <w:outlineLvl w:val="0"/>
        <w:rPr>
          <w:rFonts w:eastAsia="Times New Roman" w:cs="Arial"/>
          <w:b/>
          <w:color w:val="auto"/>
          <w:sz w:val="16"/>
          <w:szCs w:val="16"/>
          <w:lang w:eastAsia="de-DE"/>
        </w:rPr>
      </w:pPr>
      <w:r w:rsidRPr="008B0237">
        <w:rPr>
          <w:rFonts w:eastAsia="Times New Roman" w:cs="Arial"/>
          <w:b/>
          <w:color w:val="auto"/>
          <w:sz w:val="16"/>
          <w:szCs w:val="16"/>
          <w:lang w:eastAsia="de-DE"/>
        </w:rPr>
        <w:t>1. Fallpauschalen (DRGs) gemäß § 7 Abs. 1 S. 1 Ziff. 1 KHEntgG</w:t>
      </w:r>
    </w:p>
    <w:p w14:paraId="6E349DBD"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Das Entgelt für die allgemeinen voll- und teilstationären Leistungen des Krankenhauses richtet sich nach den gesetzlichen Vorgaben des KHG sowie des KHEntgG in der jeweils gültigen Fassung. Danach werden allgemeine Krankenhausleistungen der Fachrichtungen für Lungen- und Bronchialheilkunde und Rheumatologie überwiegend über diagnoseorientierte Fallpauschalen (sog. Diagnosis Related Groups - DRG -) abgerechnet. Entsprechend der DRG-Systematik bemisst sich das konkrete Entgelt nach den individuellen Umständen des Krankheitsfalls.</w:t>
      </w:r>
    </w:p>
    <w:p w14:paraId="7394417C"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Die Zuweisung zu einer DRG erfolgt über verschiedene Parameter. Die wichtigsten sind hierbei die Hauptdiagnose sowie gegebenenfalls durchgeführte Prozeduren (Operationen, aufwändige diagnostische oder therapeutische Leistungen). Eventuell vorhandene Nebendiagnosen können zudem die Schweregradeinstufung beeinflussen. Für die Festlegung der Diagnosen beziehungsweise Prozeduren stehen Kataloge (ICD-10-GM für die Diagnosen und OPS für die Prozeduren) zur Verfügung. Neben den bisher genannten können auch andere Faktoren wie z. B. das Alter oder die Entlassungsart Auswirkung auf die Zuweisung einer DRG haben. </w:t>
      </w:r>
    </w:p>
    <w:p w14:paraId="19A12C8F"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Die genauen Definitionen der einzelnen DRGs sind im jeweils aktuell gültigen DRG-Klassifikationssystem (DRG-Definitionshandbuch) festgelegt. Das DRG-Definitionshandbuch beschreibt die DRGs einerseits alphanumerisch, andererseits mittels textlichen Definitionen. Ergänzend finden sich hier auch Tabellen von zugehörigen Diagnosen oder Prozeduren.</w:t>
      </w:r>
    </w:p>
    <w:p w14:paraId="57371CD3" w14:textId="79C27178"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Die jeweilige DRG ist mit einem entsprechenden Relativgewicht bewertet, welches im Rahmen der DRG-Systempflege jährlich variieren kann. Diesem Relativgewicht ist ein in Euro ausgedrückter Basisfallwert (festgesetzter Wert einer Bezugsleistung) zugeordnet. Der gültige Basisfallwert für das Krankenhaus liegt </w:t>
      </w:r>
      <w:r w:rsidRPr="008B0237">
        <w:rPr>
          <w:rFonts w:eastAsia="Times New Roman" w:cs="Arial"/>
          <w:bCs/>
          <w:color w:val="auto"/>
          <w:sz w:val="16"/>
          <w:szCs w:val="16"/>
          <w:lang w:eastAsia="de-DE"/>
        </w:rPr>
        <w:t>ab</w:t>
      </w:r>
      <w:r w:rsidR="005E1E2D">
        <w:rPr>
          <w:rFonts w:eastAsia="Times New Roman" w:cs="Arial"/>
          <w:b/>
          <w:bCs/>
          <w:color w:val="auto"/>
          <w:sz w:val="16"/>
          <w:szCs w:val="16"/>
          <w:lang w:eastAsia="de-DE"/>
        </w:rPr>
        <w:t xml:space="preserve"> 01.05</w:t>
      </w:r>
      <w:r w:rsidR="009C672A">
        <w:rPr>
          <w:rFonts w:eastAsia="Times New Roman" w:cs="Arial"/>
          <w:b/>
          <w:bCs/>
          <w:color w:val="auto"/>
          <w:sz w:val="16"/>
          <w:szCs w:val="16"/>
          <w:lang w:eastAsia="de-DE"/>
        </w:rPr>
        <w:t>.2025</w:t>
      </w:r>
      <w:r w:rsidRPr="008B0237">
        <w:rPr>
          <w:rFonts w:eastAsia="Times New Roman" w:cs="Arial"/>
          <w:b/>
          <w:bCs/>
          <w:color w:val="auto"/>
          <w:sz w:val="16"/>
          <w:szCs w:val="16"/>
          <w:lang w:eastAsia="de-DE"/>
        </w:rPr>
        <w:t xml:space="preserve"> bei </w:t>
      </w:r>
      <w:r w:rsidR="00475DBB">
        <w:rPr>
          <w:rFonts w:eastAsia="Times New Roman" w:cs="Arial"/>
          <w:b/>
          <w:color w:val="FF0000"/>
          <w:sz w:val="16"/>
          <w:szCs w:val="16"/>
          <w:lang w:eastAsia="de-DE"/>
        </w:rPr>
        <w:t>4.</w:t>
      </w:r>
      <w:r w:rsidR="005E1E2D">
        <w:rPr>
          <w:rFonts w:eastAsia="Times New Roman" w:cs="Arial"/>
          <w:b/>
          <w:color w:val="FF0000"/>
          <w:sz w:val="16"/>
          <w:szCs w:val="16"/>
          <w:lang w:eastAsia="de-DE"/>
        </w:rPr>
        <w:t>487,41</w:t>
      </w:r>
      <w:r w:rsidRPr="008B0237">
        <w:rPr>
          <w:rFonts w:eastAsia="Times New Roman" w:cs="Arial"/>
          <w:b/>
          <w:color w:val="FF0000"/>
          <w:sz w:val="16"/>
          <w:szCs w:val="16"/>
          <w:lang w:eastAsia="de-DE"/>
        </w:rPr>
        <w:t xml:space="preserve"> Euro</w:t>
      </w:r>
      <w:r w:rsidRPr="008B0237">
        <w:rPr>
          <w:rFonts w:eastAsia="Times New Roman" w:cs="Arial"/>
          <w:color w:val="FF0000"/>
          <w:sz w:val="16"/>
          <w:szCs w:val="16"/>
          <w:lang w:eastAsia="de-DE"/>
        </w:rPr>
        <w:t xml:space="preserve"> </w:t>
      </w:r>
      <w:r w:rsidRPr="008B0237">
        <w:rPr>
          <w:rFonts w:eastAsia="Times New Roman" w:cs="Arial"/>
          <w:bCs/>
          <w:color w:val="auto"/>
          <w:sz w:val="16"/>
          <w:szCs w:val="16"/>
          <w:lang w:eastAsia="de-DE"/>
        </w:rPr>
        <w:t>(</w:t>
      </w:r>
      <w:r w:rsidRPr="008B0237">
        <w:rPr>
          <w:rFonts w:eastAsia="Times New Roman" w:cs="Arial"/>
          <w:color w:val="auto"/>
          <w:sz w:val="16"/>
          <w:szCs w:val="16"/>
          <w:lang w:eastAsia="de-DE"/>
        </w:rPr>
        <w:t>Landesbasisfallwert Bayern).</w:t>
      </w:r>
    </w:p>
    <w:p w14:paraId="7859B14D"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Der Basisfallwert unterliegt jährlichen Veränderungen. Aus der Multiplikation von Relativgewicht und Basisfallwert ergibt sich der Preis für den Behandlungsfall. Beispiel (Relativgewicht und Basisfallwert hypothetisch): </w:t>
      </w:r>
    </w:p>
    <w:tbl>
      <w:tblPr>
        <w:tblW w:w="1077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7369"/>
        <w:gridCol w:w="708"/>
        <w:gridCol w:w="850"/>
        <w:gridCol w:w="851"/>
      </w:tblGrid>
      <w:tr w:rsidR="008B0237" w:rsidRPr="008B0237" w14:paraId="5D2DAA7B" w14:textId="77777777" w:rsidTr="004A3D31">
        <w:trPr>
          <w:trHeight w:val="303"/>
        </w:trPr>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3D155" w14:textId="47BF78F5" w:rsidR="008B0237" w:rsidRPr="008B0237" w:rsidRDefault="008B0237" w:rsidP="008B0237">
            <w:pPr>
              <w:spacing w:after="0" w:line="240" w:lineRule="auto"/>
              <w:jc w:val="center"/>
              <w:rPr>
                <w:rFonts w:eastAsia="Times New Roman" w:cs="Arial"/>
                <w:b/>
                <w:bCs/>
                <w:color w:val="auto"/>
                <w:sz w:val="16"/>
                <w:szCs w:val="16"/>
                <w:lang w:eastAsia="de-DE"/>
              </w:rPr>
            </w:pPr>
            <w:r w:rsidRPr="008B0237">
              <w:rPr>
                <w:rFonts w:eastAsia="Times New Roman" w:cs="Arial"/>
                <w:b/>
                <w:bCs/>
                <w:color w:val="auto"/>
                <w:sz w:val="16"/>
                <w:szCs w:val="16"/>
                <w:lang w:eastAsia="de-DE"/>
              </w:rPr>
              <w:t>DRG 202</w:t>
            </w:r>
            <w:r w:rsidR="0081213F">
              <w:rPr>
                <w:rFonts w:eastAsia="Times New Roman" w:cs="Arial"/>
                <w:b/>
                <w:bCs/>
                <w:color w:val="auto"/>
                <w:sz w:val="16"/>
                <w:szCs w:val="16"/>
                <w:lang w:eastAsia="de-DE"/>
              </w:rPr>
              <w:t>5</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B2752E" w14:textId="77777777" w:rsidR="008B0237" w:rsidRPr="008B0237" w:rsidRDefault="008B0237" w:rsidP="008B0237">
            <w:pPr>
              <w:keepNext/>
              <w:spacing w:after="0" w:line="240" w:lineRule="auto"/>
              <w:jc w:val="center"/>
              <w:outlineLvl w:val="6"/>
              <w:rPr>
                <w:rFonts w:eastAsia="Times New Roman" w:cs="Arial"/>
                <w:b/>
                <w:bCs/>
                <w:color w:val="auto"/>
                <w:sz w:val="16"/>
                <w:szCs w:val="16"/>
                <w:lang w:eastAsia="de-DE"/>
              </w:rPr>
            </w:pPr>
            <w:r w:rsidRPr="008B0237">
              <w:rPr>
                <w:rFonts w:eastAsia="Times New Roman" w:cs="Arial"/>
                <w:b/>
                <w:bCs/>
                <w:color w:val="auto"/>
                <w:sz w:val="16"/>
                <w:szCs w:val="16"/>
                <w:lang w:eastAsia="de-DE"/>
              </w:rPr>
              <w:t>Bezeichnung</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6549A" w14:textId="77777777" w:rsidR="008B0237" w:rsidRPr="008B0237" w:rsidRDefault="008B0237" w:rsidP="008B0237">
            <w:pPr>
              <w:spacing w:after="0" w:line="240" w:lineRule="auto"/>
              <w:jc w:val="center"/>
              <w:rPr>
                <w:rFonts w:eastAsia="Times New Roman" w:cs="Arial"/>
                <w:b/>
                <w:bCs/>
                <w:color w:val="auto"/>
                <w:sz w:val="16"/>
                <w:szCs w:val="16"/>
                <w:lang w:eastAsia="de-DE"/>
              </w:rPr>
            </w:pPr>
            <w:r w:rsidRPr="008B0237">
              <w:rPr>
                <w:rFonts w:eastAsia="Times New Roman" w:cs="Arial"/>
                <w:b/>
                <w:bCs/>
                <w:color w:val="auto"/>
                <w:sz w:val="16"/>
                <w:szCs w:val="16"/>
                <w:lang w:eastAsia="de-DE"/>
              </w:rPr>
              <w:t>Relativ</w:t>
            </w:r>
            <w:r w:rsidRPr="008B0237">
              <w:rPr>
                <w:rFonts w:eastAsia="Times New Roman" w:cs="Arial"/>
                <w:b/>
                <w:bCs/>
                <w:color w:val="auto"/>
                <w:sz w:val="16"/>
                <w:szCs w:val="16"/>
                <w:lang w:eastAsia="de-DE"/>
              </w:rPr>
              <w:softHyphen/>
              <w:t>gewicht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28918D" w14:textId="77777777" w:rsidR="008B0237" w:rsidRPr="008B0237" w:rsidRDefault="008B0237" w:rsidP="008B0237">
            <w:pPr>
              <w:spacing w:after="0" w:line="240" w:lineRule="auto"/>
              <w:jc w:val="center"/>
              <w:rPr>
                <w:rFonts w:eastAsia="Times New Roman" w:cs="Arial"/>
                <w:b/>
                <w:bCs/>
                <w:color w:val="auto"/>
                <w:sz w:val="16"/>
                <w:szCs w:val="16"/>
                <w:lang w:eastAsia="de-DE"/>
              </w:rPr>
            </w:pPr>
            <w:r w:rsidRPr="008B0237">
              <w:rPr>
                <w:rFonts w:eastAsia="Times New Roman" w:cs="Arial"/>
                <w:b/>
                <w:bCs/>
                <w:color w:val="auto"/>
                <w:sz w:val="16"/>
                <w:szCs w:val="16"/>
                <w:lang w:eastAsia="de-DE"/>
              </w:rPr>
              <w:t>Basis</w:t>
            </w:r>
            <w:r w:rsidRPr="008B0237">
              <w:rPr>
                <w:rFonts w:eastAsia="Times New Roman" w:cs="Arial"/>
                <w:b/>
                <w:bCs/>
                <w:color w:val="auto"/>
                <w:sz w:val="16"/>
                <w:szCs w:val="16"/>
                <w:lang w:eastAsia="de-DE"/>
              </w:rPr>
              <w:softHyphen/>
              <w:t>fallwert €</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64C6DB" w14:textId="77777777" w:rsidR="008B0237" w:rsidRPr="008B0237" w:rsidRDefault="008B0237" w:rsidP="008B0237">
            <w:pPr>
              <w:tabs>
                <w:tab w:val="left" w:pos="708"/>
                <w:tab w:val="center" w:pos="4536"/>
                <w:tab w:val="right" w:pos="9072"/>
              </w:tabs>
              <w:spacing w:after="0" w:line="240" w:lineRule="auto"/>
              <w:jc w:val="center"/>
              <w:rPr>
                <w:rFonts w:eastAsia="Times New Roman" w:cs="Arial"/>
                <w:b/>
                <w:bCs/>
                <w:color w:val="auto"/>
                <w:sz w:val="16"/>
                <w:szCs w:val="16"/>
                <w:lang w:eastAsia="de-DE"/>
              </w:rPr>
            </w:pPr>
            <w:r w:rsidRPr="008B0237">
              <w:rPr>
                <w:rFonts w:eastAsia="Times New Roman" w:cs="Arial"/>
                <w:b/>
                <w:bCs/>
                <w:color w:val="auto"/>
                <w:sz w:val="16"/>
                <w:szCs w:val="16"/>
                <w:lang w:eastAsia="de-DE"/>
              </w:rPr>
              <w:t>Erlös €</w:t>
            </w:r>
          </w:p>
        </w:tc>
      </w:tr>
      <w:tr w:rsidR="008B0237" w:rsidRPr="008B0237" w14:paraId="6A65E64B" w14:textId="77777777" w:rsidTr="004A3D31">
        <w:trPr>
          <w:trHeight w:val="84"/>
        </w:trPr>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2123E"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E71D</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29B08"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Neubildungen der Atmungsorgane, ein Belegungstag od. ohne äußerst schwere CC, ohne Ösophagusproth., ohne Stufenbiopsie, ohne Chemoth. od. ohne endoskop. Biop. am Respir.-Trakt, ohne Bronchoskopie mit starrem Instr., ohne perkut. Biopsie am Respir.-Trakt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F258D2" w14:textId="0C65DDE6" w:rsidR="008B0237" w:rsidRPr="008B0237" w:rsidRDefault="00007889"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0,604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46651A" w14:textId="5DA6227D" w:rsidR="008B0237" w:rsidRPr="008B0237" w:rsidRDefault="00E96E5C" w:rsidP="005E1E2D">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4.</w:t>
            </w:r>
            <w:r w:rsidR="005E1E2D">
              <w:rPr>
                <w:rFonts w:eastAsia="Times New Roman" w:cs="Arial"/>
                <w:color w:val="auto"/>
                <w:sz w:val="16"/>
                <w:szCs w:val="16"/>
                <w:lang w:eastAsia="de-DE"/>
              </w:rPr>
              <w:t>487,41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1772E" w14:textId="141CFBC7" w:rsidR="008B0237" w:rsidRPr="008B0237" w:rsidRDefault="00007889" w:rsidP="005E1E2D">
            <w:pPr>
              <w:spacing w:after="0" w:line="240" w:lineRule="auto"/>
              <w:jc w:val="center"/>
              <w:rPr>
                <w:rFonts w:eastAsia="Times New Roman" w:cs="Arial"/>
                <w:color w:val="548DD4" w:themeColor="text2" w:themeTint="99"/>
                <w:sz w:val="16"/>
                <w:szCs w:val="16"/>
                <w:lang w:eastAsia="de-DE"/>
              </w:rPr>
            </w:pPr>
            <w:r>
              <w:rPr>
                <w:rFonts w:eastAsia="Times New Roman" w:cs="Arial"/>
                <w:color w:val="auto"/>
                <w:sz w:val="16"/>
                <w:szCs w:val="16"/>
                <w:lang w:eastAsia="de-DE"/>
              </w:rPr>
              <w:t>2.</w:t>
            </w:r>
            <w:r w:rsidR="005E1E2D">
              <w:rPr>
                <w:rFonts w:eastAsia="Times New Roman" w:cs="Arial"/>
                <w:color w:val="auto"/>
                <w:sz w:val="16"/>
                <w:szCs w:val="16"/>
                <w:lang w:eastAsia="de-DE"/>
              </w:rPr>
              <w:t>710,40</w:t>
            </w:r>
          </w:p>
        </w:tc>
      </w:tr>
      <w:tr w:rsidR="008B0237" w:rsidRPr="008B0237" w14:paraId="5CF70F51" w14:textId="77777777" w:rsidTr="004A3D31">
        <w:trPr>
          <w:trHeight w:val="565"/>
        </w:trPr>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40A921"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E02B</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A547AE"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Andere OR-Prozeduren an den Atmungsorganen, Alter &gt; 9 Jahre, mit mäßig aufwendigem Eingriff bei Krankheiten und Störungen der Atmungsorgane oder mehr als ein Belegungstag mit bestimmtem Eingriff an Larynx oder Trachea oder mit äußerst schweren CC</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BBF3F" w14:textId="5AA8B086" w:rsidR="008B0237" w:rsidRPr="008B0237" w:rsidRDefault="00007889"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1,760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A48FFC" w14:textId="19C79BF5" w:rsidR="005E1E2D" w:rsidRPr="008B0237" w:rsidRDefault="005E1E2D" w:rsidP="005E1E2D">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4</w:t>
            </w:r>
            <w:r w:rsidR="00D74E09">
              <w:rPr>
                <w:rFonts w:eastAsia="Times New Roman" w:cs="Arial"/>
                <w:color w:val="auto"/>
                <w:sz w:val="16"/>
                <w:szCs w:val="16"/>
                <w:lang w:eastAsia="de-DE"/>
              </w:rPr>
              <w:t>.</w:t>
            </w:r>
            <w:r>
              <w:rPr>
                <w:rFonts w:eastAsia="Times New Roman" w:cs="Arial"/>
                <w:color w:val="auto"/>
                <w:sz w:val="16"/>
                <w:szCs w:val="16"/>
                <w:lang w:eastAsia="de-DE"/>
              </w:rPr>
              <w:t>487,41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45D95" w14:textId="1A5827A5" w:rsidR="008B0237" w:rsidRPr="008B0237" w:rsidRDefault="00007889" w:rsidP="005E1E2D">
            <w:pPr>
              <w:spacing w:after="0" w:line="240" w:lineRule="auto"/>
              <w:jc w:val="center"/>
              <w:rPr>
                <w:rFonts w:eastAsia="Times New Roman" w:cs="Arial"/>
                <w:color w:val="548DD4" w:themeColor="text2" w:themeTint="99"/>
                <w:sz w:val="16"/>
                <w:szCs w:val="16"/>
                <w:lang w:eastAsia="de-DE"/>
              </w:rPr>
            </w:pPr>
            <w:r>
              <w:rPr>
                <w:rFonts w:eastAsia="Times New Roman" w:cs="Arial"/>
                <w:color w:val="auto"/>
                <w:sz w:val="16"/>
                <w:szCs w:val="16"/>
                <w:lang w:eastAsia="de-DE"/>
              </w:rPr>
              <w:t>7.</w:t>
            </w:r>
            <w:r w:rsidR="005E1E2D">
              <w:rPr>
                <w:rFonts w:eastAsia="Times New Roman" w:cs="Arial"/>
                <w:color w:val="auto"/>
                <w:sz w:val="16"/>
                <w:szCs w:val="16"/>
                <w:lang w:eastAsia="de-DE"/>
              </w:rPr>
              <w:t>897,84</w:t>
            </w:r>
          </w:p>
        </w:tc>
      </w:tr>
    </w:tbl>
    <w:p w14:paraId="0D138FBD" w14:textId="77777777" w:rsidR="008B0237" w:rsidRPr="008B0237" w:rsidRDefault="008B0237" w:rsidP="008B0237">
      <w:pPr>
        <w:spacing w:after="0" w:line="240" w:lineRule="auto"/>
        <w:jc w:val="both"/>
        <w:rPr>
          <w:rFonts w:ascii="Times New Roman" w:eastAsia="Times New Roman" w:hAnsi="Times New Roman" w:cs="Times New Roman"/>
          <w:b/>
          <w:bCs/>
          <w:color w:val="auto"/>
          <w:sz w:val="4"/>
          <w:szCs w:val="20"/>
          <w:lang w:eastAsia="de-DE"/>
        </w:rPr>
      </w:pPr>
    </w:p>
    <w:p w14:paraId="427DFC0F" w14:textId="4CC00596" w:rsidR="008B0237" w:rsidRPr="008B0237" w:rsidRDefault="008B0237" w:rsidP="008B0237">
      <w:pPr>
        <w:spacing w:after="0" w:line="240" w:lineRule="auto"/>
        <w:ind w:left="-567" w:right="-568"/>
        <w:jc w:val="both"/>
        <w:rPr>
          <w:rFonts w:eastAsia="Times New Roman" w:cs="Arial"/>
          <w:color w:val="auto"/>
          <w:sz w:val="16"/>
          <w:lang w:eastAsia="de-DE"/>
        </w:rPr>
      </w:pPr>
      <w:r w:rsidRPr="008B0237">
        <w:rPr>
          <w:rFonts w:eastAsia="Times New Roman" w:cs="Arial"/>
          <w:color w:val="auto"/>
          <w:sz w:val="16"/>
          <w:lang w:eastAsia="de-DE"/>
        </w:rPr>
        <w:t>Welche DRG bei Ihrem Krankheitsbild letztlich für die Abrechnung heranzuziehen ist, lässt sich nicht vorhersagen. Hierfür kommt es darauf an, welche Diagnose(n) am Ende des stationären Aufenthaltes gestellt und welche diagnostischen beziehungsweise therapeutischen Leistungen im Fortgang des Behandlungsgeschehens konkret er</w:t>
      </w:r>
      <w:r w:rsidR="0081213F">
        <w:rPr>
          <w:rFonts w:eastAsia="Times New Roman" w:cs="Arial"/>
          <w:color w:val="auto"/>
          <w:sz w:val="16"/>
          <w:lang w:eastAsia="de-DE"/>
        </w:rPr>
        <w:t>bracht werden. Für das Jahr 2025</w:t>
      </w:r>
      <w:r w:rsidRPr="008B0237">
        <w:rPr>
          <w:rFonts w:eastAsia="Times New Roman" w:cs="Arial"/>
          <w:color w:val="auto"/>
          <w:sz w:val="16"/>
          <w:lang w:eastAsia="de-DE"/>
        </w:rPr>
        <w:t xml:space="preserve"> werden die bundeseinheitlichen Fallpauschalen durch die Anlage 1 der</w:t>
      </w:r>
      <w:r w:rsidR="0081213F">
        <w:rPr>
          <w:rFonts w:eastAsia="Times New Roman" w:cs="Arial"/>
          <w:color w:val="auto"/>
          <w:sz w:val="16"/>
          <w:lang w:eastAsia="de-DE"/>
        </w:rPr>
        <w:t xml:space="preserve"> Fallpauschalenvereinbarung 2025 (FPV 2025</w:t>
      </w:r>
      <w:r w:rsidRPr="008B0237">
        <w:rPr>
          <w:rFonts w:eastAsia="Times New Roman" w:cs="Arial"/>
          <w:color w:val="auto"/>
          <w:sz w:val="16"/>
          <w:lang w:eastAsia="de-DE"/>
        </w:rPr>
        <w:t>) vorgegeben.</w:t>
      </w:r>
    </w:p>
    <w:p w14:paraId="763BA057"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68832217" w14:textId="77777777" w:rsidR="008B0237" w:rsidRPr="008B0237" w:rsidRDefault="008B0237" w:rsidP="008B0237">
      <w:pPr>
        <w:spacing w:after="0" w:line="240" w:lineRule="auto"/>
        <w:ind w:left="-567" w:right="-568"/>
        <w:jc w:val="both"/>
        <w:rPr>
          <w:rFonts w:eastAsia="Times New Roman" w:cs="Arial"/>
          <w:b/>
          <w:bCs/>
          <w:color w:val="auto"/>
          <w:sz w:val="16"/>
          <w:lang w:eastAsia="de-DE"/>
        </w:rPr>
      </w:pPr>
      <w:r w:rsidRPr="008B0237">
        <w:rPr>
          <w:rFonts w:eastAsia="Times New Roman" w:cs="Arial"/>
          <w:b/>
          <w:bCs/>
          <w:color w:val="auto"/>
          <w:sz w:val="16"/>
          <w:lang w:eastAsia="de-DE"/>
        </w:rPr>
        <w:t>2. Über- und Unterschreiten der Grenzverweildauer bzw. der mittleren Verweildauer der Fallpauschale (DRG)</w:t>
      </w:r>
    </w:p>
    <w:p w14:paraId="09BFA932" w14:textId="3822A0DC" w:rsidR="008B0237" w:rsidRPr="008B0237" w:rsidRDefault="008B0237" w:rsidP="008B0237">
      <w:pPr>
        <w:spacing w:after="0" w:line="240" w:lineRule="auto"/>
        <w:ind w:left="-567" w:right="-568"/>
        <w:jc w:val="both"/>
        <w:rPr>
          <w:rFonts w:eastAsia="Times New Roman" w:cs="Arial"/>
          <w:b/>
          <w:bCs/>
          <w:color w:val="auto"/>
          <w:sz w:val="16"/>
          <w:lang w:eastAsia="de-DE"/>
        </w:rPr>
      </w:pPr>
      <w:r w:rsidRPr="008B0237">
        <w:rPr>
          <w:rFonts w:eastAsia="Times New Roman" w:cs="Arial"/>
          <w:b/>
          <w:bCs/>
          <w:color w:val="auto"/>
          <w:sz w:val="16"/>
          <w:lang w:eastAsia="de-DE"/>
        </w:rPr>
        <w:t xml:space="preserve">    gem. § 1 Abs. 2 und 3</w:t>
      </w:r>
      <w:r w:rsidR="0081213F">
        <w:rPr>
          <w:rFonts w:eastAsia="Times New Roman" w:cs="Arial"/>
          <w:b/>
          <w:bCs/>
          <w:color w:val="auto"/>
          <w:sz w:val="16"/>
          <w:lang w:eastAsia="de-DE"/>
        </w:rPr>
        <w:t xml:space="preserve"> sowie § 3 Abs. 1 und 2 FPV 2025</w:t>
      </w:r>
    </w:p>
    <w:p w14:paraId="18CA98AA" w14:textId="31D174A8"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Der nach der oben beschriebenen DRG-Systematik zu ermittelnde Preis setzt voraus, dass DRG-spezifische Grenzen für die Verweildauer im Krankenhaus nicht über- oder unterschritten werden. Bei Über- oder Unterschreiten dieser Verweildauern werden gesetzlich vorgegebene Zu- oder Abschläge fällig. Die näheren Einzelheiten und das Berechnungsverfahren hierzu regelt die Verordnung zum Fallpauschalensystem für</w:t>
      </w:r>
      <w:r w:rsidR="0081213F">
        <w:rPr>
          <w:rFonts w:eastAsia="Times New Roman" w:cs="Arial"/>
          <w:color w:val="auto"/>
          <w:sz w:val="16"/>
          <w:szCs w:val="16"/>
          <w:lang w:eastAsia="de-DE"/>
        </w:rPr>
        <w:t xml:space="preserve"> Krankenhäuser für das Jahr 2025 (FPV 2025</w:t>
      </w:r>
      <w:r w:rsidRPr="008B0237">
        <w:rPr>
          <w:rFonts w:eastAsia="Times New Roman" w:cs="Arial"/>
          <w:color w:val="auto"/>
          <w:sz w:val="16"/>
          <w:szCs w:val="16"/>
          <w:lang w:eastAsia="de-DE"/>
        </w:rPr>
        <w:t>).</w:t>
      </w:r>
    </w:p>
    <w:p w14:paraId="2F4F7FC2"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17E512B1" w14:textId="55C3D7D1" w:rsidR="008B0237" w:rsidRPr="008B0237" w:rsidRDefault="008B0237" w:rsidP="008B0237">
      <w:pPr>
        <w:spacing w:after="0" w:line="240" w:lineRule="auto"/>
        <w:ind w:left="-567" w:right="-568"/>
        <w:jc w:val="both"/>
        <w:rPr>
          <w:rFonts w:eastAsia="Times New Roman" w:cs="Arial"/>
          <w:b/>
          <w:bCs/>
          <w:color w:val="auto"/>
          <w:sz w:val="16"/>
          <w:lang w:eastAsia="de-DE"/>
        </w:rPr>
      </w:pPr>
      <w:r w:rsidRPr="008B0237">
        <w:rPr>
          <w:rFonts w:eastAsia="Times New Roman" w:cs="Arial"/>
          <w:b/>
          <w:bCs/>
          <w:color w:val="auto"/>
          <w:sz w:val="16"/>
          <w:lang w:eastAsia="de-DE"/>
        </w:rPr>
        <w:t>3. Zusatzentgelte nach dem Zusatz</w:t>
      </w:r>
      <w:r w:rsidR="0081213F">
        <w:rPr>
          <w:rFonts w:eastAsia="Times New Roman" w:cs="Arial"/>
          <w:b/>
          <w:bCs/>
          <w:color w:val="auto"/>
          <w:sz w:val="16"/>
          <w:lang w:eastAsia="de-DE"/>
        </w:rPr>
        <w:t>entgeltkatalog gem. § 5 FPV 2025</w:t>
      </w:r>
    </w:p>
    <w:p w14:paraId="4A0AC247" w14:textId="77777777" w:rsidR="008B0237" w:rsidRPr="008B0237" w:rsidRDefault="008B0237" w:rsidP="008B0237">
      <w:pPr>
        <w:spacing w:after="0" w:line="240" w:lineRule="auto"/>
        <w:ind w:left="-567" w:right="-568"/>
        <w:jc w:val="both"/>
        <w:rPr>
          <w:rFonts w:eastAsia="Times New Roman" w:cs="Arial"/>
          <w:color w:val="auto"/>
          <w:sz w:val="16"/>
          <w:lang w:eastAsia="de-DE"/>
        </w:rPr>
      </w:pPr>
      <w:r w:rsidRPr="008B0237">
        <w:rPr>
          <w:rFonts w:eastAsia="Times New Roman" w:cs="Arial"/>
          <w:color w:val="auto"/>
          <w:sz w:val="16"/>
          <w:lang w:eastAsia="de-DE"/>
        </w:rPr>
        <w:t>Soweit dies zur Ergänzung der Fallpauschalen in eng begrenzten Ausnahmefällen erforderlich ist, können die für die Entwicklung und Pflege des deutschen DRG-Systems zuständigen Selbstverwaltungspartner auf der Bundesebene (Spitzenverband Bund der Krankenkassen, PKV-Verband und Deutsche Krankenhausgesellschaft) gemäß § 17b Abs. 1 S. 7 KHG Zusatzentgelte für Leistungen, Leistungskomplexe oder Arzneimittel vereinbaren. Dies gilt auch für die Höhe der Entgelte.</w:t>
      </w:r>
    </w:p>
    <w:p w14:paraId="19CBFD8E" w14:textId="77777777" w:rsidR="008B0237" w:rsidRPr="008B0237" w:rsidRDefault="008B0237" w:rsidP="008B0237">
      <w:pPr>
        <w:spacing w:after="0" w:line="240" w:lineRule="auto"/>
        <w:ind w:left="-567" w:right="-568"/>
        <w:jc w:val="both"/>
        <w:rPr>
          <w:rFonts w:eastAsia="Times New Roman" w:cs="Arial"/>
          <w:color w:val="auto"/>
          <w:sz w:val="16"/>
          <w:lang w:eastAsia="de-DE"/>
        </w:rPr>
      </w:pPr>
      <w:r w:rsidRPr="008B0237">
        <w:rPr>
          <w:rFonts w:eastAsia="Times New Roman" w:cs="Arial"/>
          <w:color w:val="auto"/>
          <w:sz w:val="16"/>
          <w:szCs w:val="20"/>
          <w:lang w:eastAsia="de-DE"/>
        </w:rPr>
        <w:t xml:space="preserve">a) </w:t>
      </w:r>
      <w:r w:rsidRPr="008B0237">
        <w:rPr>
          <w:rFonts w:eastAsia="Times New Roman" w:cs="Arial"/>
          <w:color w:val="auto"/>
          <w:sz w:val="16"/>
          <w:szCs w:val="20"/>
          <w:u w:val="single"/>
          <w:lang w:eastAsia="de-DE"/>
        </w:rPr>
        <w:t>Bundeseinheitliche Zusatzentgelte</w:t>
      </w:r>
    </w:p>
    <w:p w14:paraId="41CAE94F" w14:textId="6B2DE618" w:rsidR="008B0237" w:rsidRPr="008B0237" w:rsidRDefault="008B0237" w:rsidP="008B0237">
      <w:pPr>
        <w:spacing w:after="0" w:line="240" w:lineRule="auto"/>
        <w:ind w:left="-567" w:right="-568"/>
        <w:jc w:val="both"/>
        <w:rPr>
          <w:rFonts w:eastAsia="Times New Roman" w:cs="Arial"/>
          <w:color w:val="auto"/>
          <w:sz w:val="16"/>
          <w:szCs w:val="20"/>
          <w:lang w:eastAsia="de-DE"/>
        </w:rPr>
      </w:pPr>
      <w:r w:rsidRPr="008B0237">
        <w:rPr>
          <w:rFonts w:eastAsia="Times New Roman" w:cs="Arial"/>
          <w:color w:val="auto"/>
          <w:sz w:val="16"/>
          <w:szCs w:val="20"/>
          <w:lang w:eastAsia="de-DE"/>
        </w:rPr>
        <w:t>Werden bundesweit durch den Zusatzentgeltkatalog nach Anlage 2 in Verbindu</w:t>
      </w:r>
      <w:r w:rsidR="0081213F">
        <w:rPr>
          <w:rFonts w:eastAsia="Times New Roman" w:cs="Arial"/>
          <w:color w:val="auto"/>
          <w:sz w:val="16"/>
          <w:szCs w:val="20"/>
          <w:lang w:eastAsia="de-DE"/>
        </w:rPr>
        <w:t>ng mit der Anlage 5 der FPV 2025</w:t>
      </w:r>
      <w:r w:rsidRPr="008B0237">
        <w:rPr>
          <w:rFonts w:eastAsia="Times New Roman" w:cs="Arial"/>
          <w:color w:val="auto"/>
          <w:sz w:val="16"/>
          <w:szCs w:val="20"/>
          <w:lang w:eastAsia="de-DE"/>
        </w:rPr>
        <w:t xml:space="preserve"> vorgegeben. </w:t>
      </w:r>
    </w:p>
    <w:p w14:paraId="2065426F" w14:textId="77777777" w:rsidR="008B0237" w:rsidRPr="008B0237" w:rsidRDefault="008B0237" w:rsidP="008B0237">
      <w:pPr>
        <w:spacing w:after="0" w:line="240" w:lineRule="auto"/>
        <w:ind w:left="-567" w:right="-568"/>
        <w:jc w:val="both"/>
        <w:rPr>
          <w:rFonts w:eastAsia="Times New Roman" w:cs="Arial"/>
          <w:color w:val="auto"/>
          <w:sz w:val="16"/>
          <w:szCs w:val="20"/>
          <w:u w:val="single"/>
          <w:lang w:eastAsia="de-DE"/>
        </w:rPr>
      </w:pPr>
      <w:r w:rsidRPr="008B0237">
        <w:rPr>
          <w:rFonts w:eastAsia="Times New Roman" w:cs="Arial"/>
          <w:color w:val="auto"/>
          <w:sz w:val="16"/>
          <w:szCs w:val="20"/>
          <w:lang w:eastAsia="de-DE"/>
        </w:rPr>
        <w:t xml:space="preserve">b) </w:t>
      </w:r>
      <w:r w:rsidRPr="008B0237">
        <w:rPr>
          <w:rFonts w:eastAsia="Times New Roman" w:cs="Arial"/>
          <w:color w:val="auto"/>
          <w:sz w:val="16"/>
          <w:szCs w:val="20"/>
          <w:u w:val="single"/>
          <w:lang w:eastAsia="de-DE"/>
        </w:rPr>
        <w:t>Krankenhausindividuelle Zusatzentgelte</w:t>
      </w:r>
    </w:p>
    <w:p w14:paraId="67B261C8" w14:textId="49924567" w:rsidR="008B0237" w:rsidRPr="008B0237" w:rsidRDefault="008B0237" w:rsidP="008B0237">
      <w:pPr>
        <w:spacing w:after="0" w:line="240" w:lineRule="auto"/>
        <w:ind w:left="-567" w:right="-568"/>
        <w:jc w:val="both"/>
        <w:rPr>
          <w:rFonts w:eastAsia="Times New Roman" w:cs="Arial"/>
          <w:b/>
          <w:color w:val="auto"/>
          <w:sz w:val="16"/>
          <w:szCs w:val="16"/>
          <w:lang w:eastAsia="de-DE"/>
        </w:rPr>
      </w:pPr>
      <w:r w:rsidRPr="008B0237">
        <w:rPr>
          <w:rFonts w:eastAsia="Times New Roman" w:cs="Arial"/>
          <w:color w:val="auto"/>
          <w:sz w:val="16"/>
          <w:lang w:eastAsia="de-DE"/>
        </w:rPr>
        <w:t>Die Klinik berechnet krankenhausindividuelle Entgelte nach Anlage 4 in Verbindung mit Anlage 6</w:t>
      </w:r>
      <w:r w:rsidR="0081213F">
        <w:rPr>
          <w:rFonts w:eastAsia="Times New Roman" w:cs="Arial"/>
          <w:color w:val="auto"/>
          <w:sz w:val="16"/>
          <w:lang w:eastAsia="de-DE"/>
        </w:rPr>
        <w:t xml:space="preserve"> der FPV 2025</w:t>
      </w:r>
      <w:r w:rsidRPr="008B0237">
        <w:rPr>
          <w:rFonts w:eastAsia="Times New Roman" w:cs="Arial"/>
          <w:color w:val="auto"/>
          <w:sz w:val="16"/>
          <w:lang w:eastAsia="de-DE"/>
        </w:rPr>
        <w:t>, die zusätzlich zu den DRG- Fallpauscha</w:t>
      </w:r>
      <w:r w:rsidRPr="008B0237">
        <w:rPr>
          <w:rFonts w:eastAsia="Times New Roman" w:cs="Arial"/>
          <w:color w:val="auto"/>
          <w:sz w:val="16"/>
          <w:szCs w:val="16"/>
          <w:lang w:eastAsia="de-DE"/>
        </w:rPr>
        <w:t>len oder den Entgelten nach § 6 Abs. 1 KHEntgG abgerechnet werden:</w:t>
      </w:r>
      <w:r w:rsidRPr="008B0237">
        <w:rPr>
          <w:rFonts w:eastAsia="Times New Roman" w:cs="Arial"/>
          <w:color w:val="auto"/>
          <w:sz w:val="16"/>
          <w:szCs w:val="16"/>
          <w:lang w:eastAsia="de-DE"/>
        </w:rPr>
        <w:tab/>
      </w:r>
      <w:r w:rsidRPr="008B0237">
        <w:rPr>
          <w:rFonts w:eastAsia="Times New Roman" w:cs="Arial"/>
          <w:color w:val="auto"/>
          <w:sz w:val="16"/>
          <w:szCs w:val="16"/>
          <w:lang w:eastAsia="de-DE"/>
        </w:rPr>
        <w:tab/>
      </w:r>
      <w:r w:rsidRPr="008B0237">
        <w:rPr>
          <w:rFonts w:eastAsia="Times New Roman" w:cs="Arial"/>
          <w:color w:val="auto"/>
          <w:sz w:val="16"/>
          <w:szCs w:val="16"/>
          <w:lang w:eastAsia="de-DE"/>
        </w:rPr>
        <w:tab/>
      </w:r>
      <w:r w:rsidRPr="008B0237">
        <w:rPr>
          <w:rFonts w:eastAsia="Times New Roman" w:cs="Arial"/>
          <w:color w:val="auto"/>
          <w:sz w:val="16"/>
          <w:szCs w:val="16"/>
          <w:lang w:eastAsia="de-DE"/>
        </w:rPr>
        <w:tab/>
      </w:r>
      <w:r w:rsidRPr="008B0237">
        <w:rPr>
          <w:rFonts w:eastAsia="Times New Roman" w:cs="Arial"/>
          <w:color w:val="auto"/>
          <w:sz w:val="16"/>
          <w:szCs w:val="16"/>
          <w:lang w:eastAsia="de-DE"/>
        </w:rPr>
        <w:tab/>
        <w:t xml:space="preserve">                                                                                      Ab </w:t>
      </w:r>
      <w:r w:rsidR="00481DBD">
        <w:rPr>
          <w:rFonts w:eastAsia="Times New Roman" w:cs="Arial"/>
          <w:b/>
          <w:color w:val="auto"/>
          <w:sz w:val="16"/>
          <w:szCs w:val="16"/>
          <w:lang w:eastAsia="de-DE"/>
        </w:rPr>
        <w:t>01.10.2025</w:t>
      </w:r>
    </w:p>
    <w:tbl>
      <w:tblPr>
        <w:tblW w:w="109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6519"/>
        <w:gridCol w:w="1986"/>
      </w:tblGrid>
      <w:tr w:rsidR="008B0237" w:rsidRPr="008B0237" w14:paraId="55ECD89E" w14:textId="77777777" w:rsidTr="004A3D31">
        <w:trPr>
          <w:trHeight w:val="189"/>
        </w:trPr>
        <w:tc>
          <w:tcPr>
            <w:tcW w:w="2410" w:type="dxa"/>
            <w:tcBorders>
              <w:top w:val="single" w:sz="4" w:space="0" w:color="auto"/>
              <w:left w:val="single" w:sz="4" w:space="0" w:color="auto"/>
              <w:bottom w:val="single" w:sz="4" w:space="0" w:color="auto"/>
              <w:right w:val="nil"/>
            </w:tcBorders>
            <w:hideMark/>
          </w:tcPr>
          <w:p w14:paraId="415E1E1B" w14:textId="12272F9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-97 </w:t>
            </w:r>
          </w:p>
        </w:tc>
        <w:tc>
          <w:tcPr>
            <w:tcW w:w="6519" w:type="dxa"/>
            <w:tcBorders>
              <w:top w:val="single" w:sz="4" w:space="0" w:color="auto"/>
              <w:left w:val="nil"/>
              <w:bottom w:val="single" w:sz="4" w:space="0" w:color="auto"/>
              <w:right w:val="nil"/>
            </w:tcBorders>
            <w:hideMark/>
          </w:tcPr>
          <w:p w14:paraId="52B5D397"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Behandlung von Blutern mit Blutgerinnungsfaktoren</w:t>
            </w:r>
          </w:p>
        </w:tc>
        <w:tc>
          <w:tcPr>
            <w:tcW w:w="1986" w:type="dxa"/>
            <w:tcBorders>
              <w:top w:val="single" w:sz="4" w:space="0" w:color="auto"/>
              <w:left w:val="nil"/>
              <w:bottom w:val="single" w:sz="4" w:space="0" w:color="auto"/>
              <w:right w:val="single" w:sz="4" w:space="0" w:color="auto"/>
            </w:tcBorders>
            <w:hideMark/>
          </w:tcPr>
          <w:p w14:paraId="24832345" w14:textId="77777777" w:rsidR="008B0237" w:rsidRPr="008B0237" w:rsidRDefault="008B0237" w:rsidP="008B0237">
            <w:pPr>
              <w:spacing w:after="0" w:line="240" w:lineRule="auto"/>
              <w:jc w:val="right"/>
              <w:rPr>
                <w:rFonts w:eastAsia="Times New Roman" w:cs="Arial"/>
                <w:color w:val="auto"/>
                <w:sz w:val="16"/>
                <w:szCs w:val="16"/>
                <w:lang w:eastAsia="de-DE"/>
              </w:rPr>
            </w:pPr>
            <w:r w:rsidRPr="008B0237">
              <w:rPr>
                <w:rFonts w:eastAsia="Times New Roman" w:cs="Arial"/>
                <w:color w:val="auto"/>
                <w:sz w:val="16"/>
                <w:szCs w:val="16"/>
                <w:lang w:eastAsia="de-DE"/>
              </w:rPr>
              <w:t xml:space="preserve">Kostenerstattung </w:t>
            </w:r>
          </w:p>
        </w:tc>
      </w:tr>
      <w:tr w:rsidR="008B0237" w:rsidRPr="008B0237" w14:paraId="7374BDAA" w14:textId="77777777" w:rsidTr="004A3D31">
        <w:trPr>
          <w:trHeight w:val="189"/>
        </w:trPr>
        <w:tc>
          <w:tcPr>
            <w:tcW w:w="2410" w:type="dxa"/>
            <w:tcBorders>
              <w:top w:val="single" w:sz="4" w:space="0" w:color="auto"/>
              <w:left w:val="single" w:sz="4" w:space="0" w:color="auto"/>
              <w:bottom w:val="single" w:sz="4" w:space="0" w:color="auto"/>
              <w:right w:val="nil"/>
            </w:tcBorders>
          </w:tcPr>
          <w:p w14:paraId="28761FC4" w14:textId="46D3B782"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-56</w:t>
            </w:r>
          </w:p>
        </w:tc>
        <w:tc>
          <w:tcPr>
            <w:tcW w:w="6519" w:type="dxa"/>
            <w:tcBorders>
              <w:top w:val="single" w:sz="4" w:space="0" w:color="auto"/>
              <w:left w:val="nil"/>
              <w:bottom w:val="single" w:sz="4" w:space="0" w:color="auto"/>
              <w:right w:val="nil"/>
            </w:tcBorders>
          </w:tcPr>
          <w:p w14:paraId="56AD5E98"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Gabe von Bosentan, oral je Tablette zu 62,5 mg oder je 125 mg (OPS 6-002.f*</w:t>
            </w:r>
            <w:r w:rsidRPr="008B0237">
              <w:rPr>
                <w:rFonts w:eastAsia="Times New Roman" w:cs="Arial"/>
                <w:color w:val="auto"/>
                <w:sz w:val="18"/>
                <w:szCs w:val="16"/>
                <w:lang w:eastAsia="de-DE"/>
              </w:rPr>
              <w:t xml:space="preserve">)         </w:t>
            </w:r>
          </w:p>
        </w:tc>
        <w:tc>
          <w:tcPr>
            <w:tcW w:w="1986" w:type="dxa"/>
            <w:tcBorders>
              <w:top w:val="single" w:sz="4" w:space="0" w:color="auto"/>
              <w:left w:val="nil"/>
              <w:bottom w:val="single" w:sz="4" w:space="0" w:color="auto"/>
              <w:right w:val="single" w:sz="4" w:space="0" w:color="auto"/>
            </w:tcBorders>
          </w:tcPr>
          <w:p w14:paraId="5412E1FE" w14:textId="07A33EB3" w:rsidR="008B0237" w:rsidRPr="008B0237" w:rsidRDefault="00B507ED" w:rsidP="008B0237">
            <w:pPr>
              <w:spacing w:after="0" w:line="240" w:lineRule="auto"/>
              <w:jc w:val="right"/>
              <w:rPr>
                <w:rFonts w:eastAsia="Times New Roman" w:cs="Arial"/>
                <w:color w:val="auto"/>
                <w:sz w:val="16"/>
                <w:szCs w:val="16"/>
                <w:lang w:eastAsia="de-DE"/>
              </w:rPr>
            </w:pPr>
            <w:r>
              <w:rPr>
                <w:rFonts w:eastAsia="Times New Roman" w:cs="Arial"/>
                <w:color w:val="auto"/>
                <w:sz w:val="16"/>
                <w:szCs w:val="16"/>
                <w:lang w:eastAsia="de-DE"/>
              </w:rPr>
              <w:t>10,7</w:t>
            </w:r>
            <w:r w:rsidR="008B0237" w:rsidRPr="008B0237">
              <w:rPr>
                <w:rFonts w:eastAsia="Times New Roman" w:cs="Arial"/>
                <w:color w:val="auto"/>
                <w:sz w:val="16"/>
                <w:szCs w:val="16"/>
                <w:lang w:eastAsia="de-DE"/>
              </w:rPr>
              <w:t>0 €</w:t>
            </w:r>
          </w:p>
        </w:tc>
      </w:tr>
      <w:tr w:rsidR="008B0237" w:rsidRPr="008B0237" w14:paraId="0439ACD0" w14:textId="77777777" w:rsidTr="004A3D31">
        <w:trPr>
          <w:trHeight w:val="189"/>
        </w:trPr>
        <w:tc>
          <w:tcPr>
            <w:tcW w:w="10915" w:type="dxa"/>
            <w:gridSpan w:val="3"/>
            <w:tcBorders>
              <w:top w:val="single" w:sz="4" w:space="0" w:color="auto"/>
              <w:left w:val="single" w:sz="4" w:space="0" w:color="auto"/>
              <w:bottom w:val="single" w:sz="4" w:space="0" w:color="auto"/>
              <w:right w:val="single" w:sz="4" w:space="0" w:color="auto"/>
            </w:tcBorders>
          </w:tcPr>
          <w:p w14:paraId="609D0E47" w14:textId="5D611622"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-58                                   Gabe von Alpha-1Proteinaseninhibitor human parenteral, je mg  (OPS 8-812.0*)                                                      0,39 €         </w:t>
            </w:r>
          </w:p>
        </w:tc>
      </w:tr>
      <w:tr w:rsidR="008B0237" w:rsidRPr="008B0237" w14:paraId="35510C55" w14:textId="77777777" w:rsidTr="004A3D31">
        <w:trPr>
          <w:trHeight w:val="189"/>
        </w:trPr>
        <w:tc>
          <w:tcPr>
            <w:tcW w:w="10915" w:type="dxa"/>
            <w:gridSpan w:val="3"/>
            <w:tcBorders>
              <w:top w:val="single" w:sz="4" w:space="0" w:color="auto"/>
              <w:left w:val="single" w:sz="4" w:space="0" w:color="auto"/>
              <w:bottom w:val="single" w:sz="4" w:space="0" w:color="auto"/>
              <w:right w:val="single" w:sz="4" w:space="0" w:color="auto"/>
            </w:tcBorders>
          </w:tcPr>
          <w:p w14:paraId="33A75412" w14:textId="20D8811E" w:rsidR="008B0237" w:rsidRPr="008B0237" w:rsidRDefault="00007889" w:rsidP="006266E9">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-84                                   Gabe von Ambrisentan, oral 5 mg Tablette, je 5 mg (OPS 6-004.2*)</w:t>
            </w:r>
            <w:r w:rsidR="008B0237" w:rsidRPr="008B0237">
              <w:rPr>
                <w:rFonts w:eastAsia="Times New Roman" w:cs="Arial"/>
                <w:color w:val="auto"/>
                <w:sz w:val="18"/>
                <w:szCs w:val="16"/>
                <w:lang w:eastAsia="de-DE"/>
              </w:rPr>
              <w:t xml:space="preserve">                                                           </w:t>
            </w:r>
            <w:r w:rsidR="00C61BA6">
              <w:rPr>
                <w:rFonts w:eastAsia="Times New Roman" w:cs="Arial"/>
                <w:color w:val="auto"/>
                <w:sz w:val="16"/>
                <w:szCs w:val="16"/>
                <w:lang w:eastAsia="de-DE"/>
              </w:rPr>
              <w:t xml:space="preserve">     </w:t>
            </w:r>
            <w:r w:rsidR="006266E9">
              <w:rPr>
                <w:rFonts w:eastAsia="Times New Roman" w:cs="Arial"/>
                <w:color w:val="auto"/>
                <w:sz w:val="16"/>
                <w:szCs w:val="16"/>
                <w:lang w:eastAsia="de-DE"/>
              </w:rPr>
              <w:t>10,23</w:t>
            </w:r>
            <w:r w:rsidR="00C61BA6">
              <w:rPr>
                <w:rFonts w:eastAsia="Times New Roman" w:cs="Arial"/>
                <w:color w:val="auto"/>
                <w:sz w:val="16"/>
                <w:szCs w:val="16"/>
                <w:lang w:eastAsia="de-DE"/>
              </w:rPr>
              <w:t xml:space="preserve"> </w:t>
            </w:r>
            <w:r w:rsidR="008B0237" w:rsidRPr="008B0237">
              <w:rPr>
                <w:rFonts w:eastAsia="Times New Roman" w:cs="Arial"/>
                <w:color w:val="auto"/>
                <w:sz w:val="16"/>
                <w:szCs w:val="16"/>
                <w:lang w:eastAsia="de-DE"/>
              </w:rPr>
              <w:t>€</w:t>
            </w:r>
          </w:p>
        </w:tc>
      </w:tr>
      <w:tr w:rsidR="008B0237" w:rsidRPr="008B0237" w14:paraId="6616AFF0" w14:textId="77777777" w:rsidTr="004A3D31">
        <w:trPr>
          <w:trHeight w:val="189"/>
        </w:trPr>
        <w:tc>
          <w:tcPr>
            <w:tcW w:w="10915" w:type="dxa"/>
            <w:gridSpan w:val="3"/>
            <w:tcBorders>
              <w:top w:val="single" w:sz="4" w:space="0" w:color="auto"/>
              <w:left w:val="single" w:sz="4" w:space="0" w:color="auto"/>
              <w:bottom w:val="single" w:sz="4" w:space="0" w:color="auto"/>
              <w:right w:val="single" w:sz="4" w:space="0" w:color="auto"/>
            </w:tcBorders>
          </w:tcPr>
          <w:p w14:paraId="0152F1E6" w14:textId="09DE1DE0" w:rsidR="008B0237" w:rsidRPr="008B0237" w:rsidRDefault="00007889" w:rsidP="00CC45B8">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-84                                   Gabe von Ambrisentan, oral 10 mg Tablette, je 10 mg (OPS 6-004.2*)</w:t>
            </w:r>
            <w:r w:rsidR="008B0237" w:rsidRPr="008B0237">
              <w:rPr>
                <w:rFonts w:eastAsia="Times New Roman" w:cs="Arial"/>
                <w:color w:val="auto"/>
                <w:sz w:val="18"/>
                <w:szCs w:val="16"/>
                <w:lang w:eastAsia="de-DE"/>
              </w:rPr>
              <w:t xml:space="preserve">                                                        </w:t>
            </w:r>
            <w:r w:rsidR="00036FBF">
              <w:rPr>
                <w:rFonts w:eastAsia="Times New Roman" w:cs="Arial"/>
                <w:color w:val="auto"/>
                <w:sz w:val="16"/>
                <w:szCs w:val="16"/>
                <w:lang w:eastAsia="de-DE"/>
              </w:rPr>
              <w:t xml:space="preserve">     </w:t>
            </w:r>
            <w:r w:rsidR="00CC45B8">
              <w:rPr>
                <w:rFonts w:eastAsia="Times New Roman" w:cs="Arial"/>
                <w:color w:val="auto"/>
                <w:sz w:val="16"/>
                <w:szCs w:val="16"/>
                <w:lang w:eastAsia="de-DE"/>
              </w:rPr>
              <w:t>10,23</w:t>
            </w:r>
            <w:r w:rsidR="00036FBF">
              <w:rPr>
                <w:rFonts w:eastAsia="Times New Roman" w:cs="Arial"/>
                <w:color w:val="auto"/>
                <w:sz w:val="16"/>
                <w:szCs w:val="16"/>
                <w:lang w:eastAsia="de-DE"/>
              </w:rPr>
              <w:t xml:space="preserve"> </w:t>
            </w:r>
            <w:r w:rsidR="008B0237" w:rsidRPr="008B0237">
              <w:rPr>
                <w:rFonts w:eastAsia="Times New Roman" w:cs="Arial"/>
                <w:color w:val="auto"/>
                <w:sz w:val="16"/>
                <w:szCs w:val="16"/>
                <w:lang w:eastAsia="de-DE"/>
              </w:rPr>
              <w:t>€</w:t>
            </w:r>
          </w:p>
        </w:tc>
      </w:tr>
      <w:tr w:rsidR="008B0237" w:rsidRPr="008B0237" w14:paraId="33CC526E" w14:textId="77777777" w:rsidTr="004A3D31">
        <w:trPr>
          <w:trHeight w:val="189"/>
        </w:trPr>
        <w:tc>
          <w:tcPr>
            <w:tcW w:w="10915" w:type="dxa"/>
            <w:gridSpan w:val="3"/>
            <w:tcBorders>
              <w:top w:val="single" w:sz="4" w:space="0" w:color="auto"/>
              <w:left w:val="single" w:sz="4" w:space="0" w:color="auto"/>
              <w:bottom w:val="single" w:sz="4" w:space="0" w:color="auto"/>
              <w:right w:val="single" w:sz="4" w:space="0" w:color="auto"/>
            </w:tcBorders>
          </w:tcPr>
          <w:p w14:paraId="0F686A8D" w14:textId="178753B1" w:rsidR="008B0237" w:rsidRPr="008B0237" w:rsidRDefault="00007889" w:rsidP="00635F1B">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-106                                 Gabe von Abatacept, subkutan, je 125 mg Fertigspritze (OPS 6-003.t*)                                      </w:t>
            </w:r>
            <w:r w:rsidR="00436D9C">
              <w:rPr>
                <w:rFonts w:eastAsia="Times New Roman" w:cs="Arial"/>
                <w:color w:val="auto"/>
                <w:sz w:val="16"/>
                <w:szCs w:val="16"/>
                <w:lang w:eastAsia="de-DE"/>
              </w:rPr>
              <w:t xml:space="preserve">                          </w:t>
            </w:r>
            <w:r w:rsidR="00635F1B">
              <w:rPr>
                <w:rFonts w:eastAsia="Times New Roman" w:cs="Arial"/>
                <w:color w:val="auto"/>
                <w:sz w:val="16"/>
                <w:szCs w:val="16"/>
                <w:lang w:eastAsia="de-DE"/>
              </w:rPr>
              <w:t>433,25</w:t>
            </w:r>
            <w:r w:rsidR="008B0237" w:rsidRPr="008B0237">
              <w:rPr>
                <w:rFonts w:eastAsia="Times New Roman" w:cs="Arial"/>
                <w:color w:val="auto"/>
                <w:sz w:val="16"/>
                <w:szCs w:val="16"/>
                <w:lang w:eastAsia="de-DE"/>
              </w:rPr>
              <w:t xml:space="preserve"> €</w:t>
            </w:r>
          </w:p>
        </w:tc>
      </w:tr>
      <w:tr w:rsidR="008B0237" w:rsidRPr="008B0237" w14:paraId="1F1927E1" w14:textId="77777777" w:rsidTr="004A3D31">
        <w:trPr>
          <w:trHeight w:val="140"/>
        </w:trPr>
        <w:tc>
          <w:tcPr>
            <w:tcW w:w="2410" w:type="dxa"/>
            <w:tcBorders>
              <w:top w:val="single" w:sz="4" w:space="0" w:color="auto"/>
              <w:left w:val="single" w:sz="4" w:space="0" w:color="auto"/>
              <w:bottom w:val="single" w:sz="4" w:space="0" w:color="auto"/>
              <w:right w:val="nil"/>
            </w:tcBorders>
            <w:hideMark/>
          </w:tcPr>
          <w:p w14:paraId="40830A12" w14:textId="72071BD1"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-110</w:t>
            </w:r>
          </w:p>
        </w:tc>
        <w:tc>
          <w:tcPr>
            <w:tcW w:w="6519" w:type="dxa"/>
            <w:tcBorders>
              <w:top w:val="single" w:sz="4" w:space="0" w:color="auto"/>
              <w:left w:val="nil"/>
              <w:bottom w:val="single" w:sz="4" w:space="0" w:color="auto"/>
              <w:right w:val="nil"/>
            </w:tcBorders>
            <w:hideMark/>
          </w:tcPr>
          <w:p w14:paraId="7E2632A5"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Gabe von Tocilizumab, subkutan, je Fertigspritze 162 mg (OPS 6-005.n*)</w:t>
            </w:r>
          </w:p>
        </w:tc>
        <w:tc>
          <w:tcPr>
            <w:tcW w:w="1986" w:type="dxa"/>
            <w:tcBorders>
              <w:top w:val="single" w:sz="4" w:space="0" w:color="auto"/>
              <w:left w:val="nil"/>
              <w:bottom w:val="single" w:sz="4" w:space="0" w:color="auto"/>
              <w:right w:val="single" w:sz="4" w:space="0" w:color="auto"/>
            </w:tcBorders>
            <w:hideMark/>
          </w:tcPr>
          <w:p w14:paraId="1A71E98B" w14:textId="5C967330" w:rsidR="008B0237" w:rsidRPr="008B0237" w:rsidRDefault="00800CB0" w:rsidP="008B0237">
            <w:pPr>
              <w:spacing w:after="0" w:line="240" w:lineRule="auto"/>
              <w:jc w:val="right"/>
              <w:rPr>
                <w:rFonts w:eastAsia="Times New Roman" w:cs="Arial"/>
                <w:color w:val="auto"/>
                <w:sz w:val="16"/>
                <w:szCs w:val="16"/>
                <w:lang w:eastAsia="de-DE"/>
              </w:rPr>
            </w:pPr>
            <w:r>
              <w:rPr>
                <w:rFonts w:eastAsia="Times New Roman" w:cs="Arial"/>
                <w:color w:val="auto"/>
                <w:sz w:val="16"/>
                <w:szCs w:val="16"/>
                <w:lang w:eastAsia="de-DE"/>
              </w:rPr>
              <w:t>485,81</w:t>
            </w:r>
            <w:r w:rsidR="008B0237" w:rsidRPr="008B0237">
              <w:rPr>
                <w:rFonts w:eastAsia="Times New Roman" w:cs="Arial"/>
                <w:color w:val="auto"/>
                <w:sz w:val="16"/>
                <w:szCs w:val="16"/>
                <w:lang w:eastAsia="de-DE"/>
              </w:rPr>
              <w:t xml:space="preserve"> €</w:t>
            </w:r>
          </w:p>
        </w:tc>
      </w:tr>
      <w:tr w:rsidR="008B0237" w:rsidRPr="008B0237" w14:paraId="55E0FFE4" w14:textId="77777777" w:rsidTr="004A3D31">
        <w:trPr>
          <w:trHeight w:val="72"/>
        </w:trPr>
        <w:tc>
          <w:tcPr>
            <w:tcW w:w="2410" w:type="dxa"/>
            <w:tcBorders>
              <w:top w:val="single" w:sz="4" w:space="0" w:color="auto"/>
              <w:left w:val="single" w:sz="4" w:space="0" w:color="auto"/>
              <w:bottom w:val="single" w:sz="4" w:space="0" w:color="auto"/>
              <w:right w:val="nil"/>
            </w:tcBorders>
            <w:hideMark/>
          </w:tcPr>
          <w:p w14:paraId="231BA6ED" w14:textId="2EDB02C0"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-120                                     </w:t>
            </w:r>
          </w:p>
        </w:tc>
        <w:tc>
          <w:tcPr>
            <w:tcW w:w="6519" w:type="dxa"/>
            <w:tcBorders>
              <w:top w:val="single" w:sz="4" w:space="0" w:color="auto"/>
              <w:left w:val="nil"/>
              <w:bottom w:val="single" w:sz="4" w:space="0" w:color="auto"/>
              <w:right w:val="nil"/>
            </w:tcBorders>
            <w:hideMark/>
          </w:tcPr>
          <w:p w14:paraId="76DF90CF"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Gabe von Pemetrexed, parenteral, je angef. Durchstechflasche a 100 mg (OPS 6-001.c*)                                                                                                                 </w:t>
            </w:r>
          </w:p>
        </w:tc>
        <w:tc>
          <w:tcPr>
            <w:tcW w:w="1986" w:type="dxa"/>
            <w:tcBorders>
              <w:top w:val="single" w:sz="4" w:space="0" w:color="auto"/>
              <w:left w:val="nil"/>
              <w:bottom w:val="single" w:sz="4" w:space="0" w:color="auto"/>
              <w:right w:val="single" w:sz="4" w:space="0" w:color="auto"/>
            </w:tcBorders>
            <w:hideMark/>
          </w:tcPr>
          <w:p w14:paraId="79C356AC"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8,00 €</w:t>
            </w:r>
          </w:p>
        </w:tc>
      </w:tr>
      <w:tr w:rsidR="008B0237" w:rsidRPr="008B0237" w14:paraId="0F026AFA" w14:textId="77777777" w:rsidTr="004A3D31">
        <w:trPr>
          <w:trHeight w:val="72"/>
        </w:trPr>
        <w:tc>
          <w:tcPr>
            <w:tcW w:w="2410" w:type="dxa"/>
            <w:tcBorders>
              <w:top w:val="single" w:sz="4" w:space="0" w:color="auto"/>
              <w:left w:val="single" w:sz="4" w:space="0" w:color="auto"/>
              <w:bottom w:val="single" w:sz="4" w:space="0" w:color="auto"/>
              <w:right w:val="nil"/>
            </w:tcBorders>
          </w:tcPr>
          <w:p w14:paraId="33C5ADF6" w14:textId="36FE04D8"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-121                                     </w:t>
            </w:r>
          </w:p>
        </w:tc>
        <w:tc>
          <w:tcPr>
            <w:tcW w:w="6519" w:type="dxa"/>
            <w:tcBorders>
              <w:top w:val="single" w:sz="4" w:space="0" w:color="auto"/>
              <w:left w:val="nil"/>
              <w:bottom w:val="single" w:sz="4" w:space="0" w:color="auto"/>
              <w:right w:val="nil"/>
            </w:tcBorders>
          </w:tcPr>
          <w:p w14:paraId="41AF91EE"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Etanercept, parenteral, je mg (OPS 6-002.b*)                                                                                                                                        </w:t>
            </w:r>
          </w:p>
        </w:tc>
        <w:tc>
          <w:tcPr>
            <w:tcW w:w="1986" w:type="dxa"/>
            <w:tcBorders>
              <w:top w:val="single" w:sz="4" w:space="0" w:color="auto"/>
              <w:left w:val="nil"/>
              <w:bottom w:val="single" w:sz="4" w:space="0" w:color="auto"/>
              <w:right w:val="single" w:sz="4" w:space="0" w:color="auto"/>
            </w:tcBorders>
          </w:tcPr>
          <w:p w14:paraId="077E2FF4" w14:textId="595CD0EA" w:rsidR="008B0237" w:rsidRPr="008B0237" w:rsidRDefault="005E3765" w:rsidP="008B0237">
            <w:pPr>
              <w:spacing w:after="0" w:line="240" w:lineRule="auto"/>
              <w:ind w:left="1136"/>
              <w:jc w:val="center"/>
              <w:rPr>
                <w:rFonts w:eastAsia="Times New Roman" w:cs="Arial"/>
                <w:color w:val="auto"/>
                <w:sz w:val="16"/>
                <w:szCs w:val="16"/>
                <w:lang w:eastAsia="de-DE"/>
              </w:rPr>
            </w:pPr>
            <w:r>
              <w:rPr>
                <w:rFonts w:eastAsia="Times New Roman" w:cs="Arial"/>
                <w:color w:val="auto"/>
                <w:sz w:val="16"/>
                <w:szCs w:val="16"/>
                <w:lang w:eastAsia="de-DE"/>
              </w:rPr>
              <w:t xml:space="preserve">        4,03</w:t>
            </w:r>
            <w:r w:rsidR="008B0237" w:rsidRPr="008B0237">
              <w:rPr>
                <w:rFonts w:eastAsia="Times New Roman" w:cs="Arial"/>
                <w:color w:val="auto"/>
                <w:sz w:val="16"/>
                <w:szCs w:val="16"/>
                <w:lang w:eastAsia="de-DE"/>
              </w:rPr>
              <w:t xml:space="preserve"> €</w:t>
            </w:r>
          </w:p>
        </w:tc>
      </w:tr>
      <w:tr w:rsidR="008B0237" w:rsidRPr="008B0237" w14:paraId="718F30B6" w14:textId="77777777" w:rsidTr="004A3D31">
        <w:trPr>
          <w:trHeight w:val="72"/>
        </w:trPr>
        <w:tc>
          <w:tcPr>
            <w:tcW w:w="2410" w:type="dxa"/>
            <w:tcBorders>
              <w:top w:val="single" w:sz="4" w:space="0" w:color="auto"/>
              <w:left w:val="single" w:sz="4" w:space="0" w:color="auto"/>
              <w:bottom w:val="single" w:sz="4" w:space="0" w:color="auto"/>
              <w:right w:val="nil"/>
            </w:tcBorders>
          </w:tcPr>
          <w:p w14:paraId="6ACEA94C" w14:textId="4CA6D4BE"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-122</w:t>
            </w:r>
          </w:p>
        </w:tc>
        <w:tc>
          <w:tcPr>
            <w:tcW w:w="6519" w:type="dxa"/>
            <w:tcBorders>
              <w:top w:val="single" w:sz="4" w:space="0" w:color="auto"/>
              <w:left w:val="nil"/>
              <w:bottom w:val="single" w:sz="4" w:space="0" w:color="auto"/>
              <w:right w:val="nil"/>
            </w:tcBorders>
          </w:tcPr>
          <w:p w14:paraId="1541B675"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Imatinib, oral, je 100 mg Tablette (OPS 6-001.g*)     </w:t>
            </w:r>
          </w:p>
        </w:tc>
        <w:tc>
          <w:tcPr>
            <w:tcW w:w="1986" w:type="dxa"/>
            <w:tcBorders>
              <w:top w:val="single" w:sz="4" w:space="0" w:color="auto"/>
              <w:left w:val="nil"/>
              <w:bottom w:val="single" w:sz="4" w:space="0" w:color="auto"/>
              <w:right w:val="single" w:sz="4" w:space="0" w:color="auto"/>
            </w:tcBorders>
          </w:tcPr>
          <w:p w14:paraId="15016512" w14:textId="77777777" w:rsidR="008B0237" w:rsidRPr="008B0237" w:rsidRDefault="008B0237" w:rsidP="008B0237">
            <w:pPr>
              <w:spacing w:after="0" w:line="240" w:lineRule="auto"/>
              <w:ind w:left="1136"/>
              <w:jc w:val="center"/>
              <w:rPr>
                <w:rFonts w:eastAsia="Times New Roman" w:cs="Arial"/>
                <w:color w:val="auto"/>
                <w:sz w:val="16"/>
                <w:szCs w:val="16"/>
                <w:lang w:eastAsia="de-DE"/>
              </w:rPr>
            </w:pPr>
            <w:r w:rsidRPr="008B0237">
              <w:rPr>
                <w:rFonts w:eastAsia="Times New Roman" w:cs="Arial"/>
                <w:color w:val="auto"/>
                <w:sz w:val="16"/>
                <w:szCs w:val="16"/>
                <w:lang w:eastAsia="de-DE"/>
              </w:rPr>
              <w:t xml:space="preserve">        1,00 €     </w:t>
            </w:r>
          </w:p>
        </w:tc>
      </w:tr>
      <w:tr w:rsidR="008B0237" w:rsidRPr="008B0237" w14:paraId="7AAFAE6B" w14:textId="77777777" w:rsidTr="004A3D31">
        <w:trPr>
          <w:trHeight w:val="72"/>
        </w:trPr>
        <w:tc>
          <w:tcPr>
            <w:tcW w:w="2410" w:type="dxa"/>
            <w:tcBorders>
              <w:top w:val="single" w:sz="4" w:space="0" w:color="auto"/>
              <w:left w:val="single" w:sz="4" w:space="0" w:color="auto"/>
              <w:bottom w:val="single" w:sz="4" w:space="0" w:color="auto"/>
              <w:right w:val="nil"/>
            </w:tcBorders>
          </w:tcPr>
          <w:p w14:paraId="1D4CB9C5" w14:textId="15026F4F"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-123</w:t>
            </w:r>
          </w:p>
        </w:tc>
        <w:tc>
          <w:tcPr>
            <w:tcW w:w="6519" w:type="dxa"/>
            <w:tcBorders>
              <w:top w:val="single" w:sz="4" w:space="0" w:color="auto"/>
              <w:left w:val="nil"/>
              <w:bottom w:val="single" w:sz="4" w:space="0" w:color="auto"/>
              <w:right w:val="nil"/>
            </w:tcBorders>
          </w:tcPr>
          <w:p w14:paraId="237F7397"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Caspofungin, parenteral, je mg (OPS 6-002.p*)                                                                           </w:t>
            </w:r>
          </w:p>
        </w:tc>
        <w:tc>
          <w:tcPr>
            <w:tcW w:w="1986" w:type="dxa"/>
            <w:tcBorders>
              <w:top w:val="single" w:sz="4" w:space="0" w:color="auto"/>
              <w:left w:val="nil"/>
              <w:bottom w:val="single" w:sz="4" w:space="0" w:color="auto"/>
              <w:right w:val="single" w:sz="4" w:space="0" w:color="auto"/>
            </w:tcBorders>
          </w:tcPr>
          <w:p w14:paraId="6B822418" w14:textId="2CFEF9C9"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5E3765">
              <w:rPr>
                <w:rFonts w:eastAsia="Times New Roman" w:cs="Arial"/>
                <w:color w:val="auto"/>
                <w:sz w:val="16"/>
                <w:szCs w:val="16"/>
                <w:lang w:eastAsia="de-DE"/>
              </w:rPr>
              <w:t xml:space="preserve">                            0,52</w:t>
            </w:r>
            <w:r w:rsidRPr="008B0237">
              <w:rPr>
                <w:rFonts w:eastAsia="Times New Roman" w:cs="Arial"/>
                <w:color w:val="auto"/>
                <w:sz w:val="16"/>
                <w:szCs w:val="16"/>
                <w:lang w:eastAsia="de-DE"/>
              </w:rPr>
              <w:t xml:space="preserve"> €</w:t>
            </w:r>
          </w:p>
        </w:tc>
      </w:tr>
      <w:tr w:rsidR="008B0237" w:rsidRPr="008B0237" w14:paraId="21F6FCD8" w14:textId="77777777" w:rsidTr="004A3D31">
        <w:trPr>
          <w:trHeight w:val="72"/>
        </w:trPr>
        <w:tc>
          <w:tcPr>
            <w:tcW w:w="2410" w:type="dxa"/>
            <w:tcBorders>
              <w:top w:val="single" w:sz="4" w:space="0" w:color="auto"/>
              <w:left w:val="single" w:sz="4" w:space="0" w:color="auto"/>
              <w:bottom w:val="single" w:sz="4" w:space="0" w:color="auto"/>
              <w:right w:val="nil"/>
            </w:tcBorders>
          </w:tcPr>
          <w:p w14:paraId="40C328E5" w14:textId="75E4E57A"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-124</w:t>
            </w:r>
          </w:p>
        </w:tc>
        <w:tc>
          <w:tcPr>
            <w:tcW w:w="6519" w:type="dxa"/>
            <w:tcBorders>
              <w:top w:val="single" w:sz="4" w:space="0" w:color="auto"/>
              <w:left w:val="nil"/>
              <w:bottom w:val="single" w:sz="4" w:space="0" w:color="auto"/>
              <w:right w:val="nil"/>
            </w:tcBorders>
          </w:tcPr>
          <w:p w14:paraId="1A04B3EF"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Voriconazol, oral, je 200 mg Tablette (OPS 6-002.5*)                                                                                                                </w:t>
            </w:r>
          </w:p>
        </w:tc>
        <w:tc>
          <w:tcPr>
            <w:tcW w:w="1986" w:type="dxa"/>
            <w:tcBorders>
              <w:top w:val="single" w:sz="4" w:space="0" w:color="auto"/>
              <w:left w:val="nil"/>
              <w:bottom w:val="single" w:sz="4" w:space="0" w:color="auto"/>
              <w:right w:val="single" w:sz="4" w:space="0" w:color="auto"/>
            </w:tcBorders>
          </w:tcPr>
          <w:p w14:paraId="41778A07" w14:textId="77777777" w:rsidR="008B0237" w:rsidRPr="008B0237" w:rsidRDefault="008B0237" w:rsidP="008B0237">
            <w:pPr>
              <w:spacing w:after="0" w:line="240" w:lineRule="auto"/>
              <w:ind w:left="1136"/>
              <w:jc w:val="right"/>
              <w:rPr>
                <w:rFonts w:eastAsia="Times New Roman" w:cs="Arial"/>
                <w:color w:val="auto"/>
                <w:sz w:val="16"/>
                <w:szCs w:val="16"/>
                <w:lang w:eastAsia="de-DE"/>
              </w:rPr>
            </w:pPr>
            <w:r w:rsidRPr="008B0237">
              <w:rPr>
                <w:rFonts w:eastAsia="Times New Roman" w:cs="Arial"/>
                <w:color w:val="auto"/>
                <w:sz w:val="16"/>
                <w:szCs w:val="16"/>
                <w:lang w:eastAsia="de-DE"/>
              </w:rPr>
              <w:t>1,17 €</w:t>
            </w:r>
          </w:p>
        </w:tc>
      </w:tr>
      <w:tr w:rsidR="008B0237" w:rsidRPr="008B0237" w14:paraId="2FE005E2" w14:textId="77777777" w:rsidTr="004A3D31">
        <w:trPr>
          <w:trHeight w:val="72"/>
        </w:trPr>
        <w:tc>
          <w:tcPr>
            <w:tcW w:w="2410" w:type="dxa"/>
            <w:tcBorders>
              <w:top w:val="single" w:sz="4" w:space="0" w:color="auto"/>
              <w:left w:val="single" w:sz="4" w:space="0" w:color="auto"/>
              <w:bottom w:val="single" w:sz="4" w:space="0" w:color="auto"/>
              <w:right w:val="nil"/>
            </w:tcBorders>
          </w:tcPr>
          <w:p w14:paraId="1B4EBD31" w14:textId="20F53809"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-125</w:t>
            </w:r>
          </w:p>
        </w:tc>
        <w:tc>
          <w:tcPr>
            <w:tcW w:w="6519" w:type="dxa"/>
            <w:tcBorders>
              <w:top w:val="single" w:sz="4" w:space="0" w:color="auto"/>
              <w:left w:val="nil"/>
              <w:bottom w:val="single" w:sz="4" w:space="0" w:color="auto"/>
              <w:right w:val="nil"/>
            </w:tcBorders>
          </w:tcPr>
          <w:p w14:paraId="36BCC8A8" w14:textId="77777777" w:rsidR="008B0237" w:rsidRPr="008B0237" w:rsidRDefault="008B0237" w:rsidP="008B0237">
            <w:pPr>
              <w:spacing w:after="0" w:line="240" w:lineRule="auto"/>
              <w:ind w:left="1" w:right="282" w:hanging="1"/>
              <w:rPr>
                <w:rFonts w:eastAsia="Times New Roman" w:cs="Arial"/>
                <w:color w:val="auto"/>
                <w:sz w:val="16"/>
                <w:szCs w:val="16"/>
                <w:lang w:eastAsia="de-DE"/>
              </w:rPr>
            </w:pPr>
            <w:r w:rsidRPr="008B0237">
              <w:rPr>
                <w:rFonts w:eastAsia="Times New Roman" w:cs="Arial"/>
                <w:color w:val="auto"/>
                <w:sz w:val="16"/>
                <w:szCs w:val="16"/>
                <w:lang w:eastAsia="de-DE"/>
              </w:rPr>
              <w:t>Gabe von Voriconazol, parenteral, je 200 mg Tablette (OPS 6-002.r*)</w:t>
            </w:r>
          </w:p>
        </w:tc>
        <w:tc>
          <w:tcPr>
            <w:tcW w:w="1986" w:type="dxa"/>
            <w:tcBorders>
              <w:top w:val="single" w:sz="4" w:space="0" w:color="auto"/>
              <w:left w:val="nil"/>
              <w:bottom w:val="single" w:sz="4" w:space="0" w:color="auto"/>
              <w:right w:val="single" w:sz="4" w:space="0" w:color="auto"/>
            </w:tcBorders>
          </w:tcPr>
          <w:p w14:paraId="036AB64B" w14:textId="77777777" w:rsidR="008B0237" w:rsidRPr="008B0237" w:rsidRDefault="008B0237" w:rsidP="008B0237">
            <w:pPr>
              <w:spacing w:after="0" w:line="240" w:lineRule="auto"/>
              <w:ind w:left="1136"/>
              <w:jc w:val="right"/>
              <w:rPr>
                <w:rFonts w:eastAsia="Times New Roman" w:cs="Arial"/>
                <w:color w:val="auto"/>
                <w:sz w:val="16"/>
                <w:szCs w:val="16"/>
                <w:lang w:eastAsia="de-DE"/>
              </w:rPr>
            </w:pPr>
            <w:r w:rsidRPr="008B0237">
              <w:rPr>
                <w:rFonts w:eastAsia="Times New Roman" w:cs="Arial"/>
                <w:color w:val="auto"/>
                <w:sz w:val="16"/>
                <w:szCs w:val="16"/>
                <w:lang w:eastAsia="de-DE"/>
              </w:rPr>
              <w:t>5,66 €</w:t>
            </w:r>
          </w:p>
        </w:tc>
      </w:tr>
      <w:tr w:rsidR="008B0237" w:rsidRPr="008B0237" w14:paraId="59A97D31" w14:textId="77777777" w:rsidTr="004A3D31">
        <w:trPr>
          <w:trHeight w:val="72"/>
        </w:trPr>
        <w:tc>
          <w:tcPr>
            <w:tcW w:w="2410" w:type="dxa"/>
            <w:tcBorders>
              <w:top w:val="single" w:sz="4" w:space="0" w:color="auto"/>
              <w:left w:val="single" w:sz="4" w:space="0" w:color="auto"/>
              <w:bottom w:val="single" w:sz="4" w:space="0" w:color="auto"/>
              <w:right w:val="nil"/>
            </w:tcBorders>
          </w:tcPr>
          <w:p w14:paraId="404E7024" w14:textId="1BD88CD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-130     </w:t>
            </w:r>
          </w:p>
        </w:tc>
        <w:tc>
          <w:tcPr>
            <w:tcW w:w="6519" w:type="dxa"/>
            <w:tcBorders>
              <w:top w:val="single" w:sz="4" w:space="0" w:color="auto"/>
              <w:left w:val="nil"/>
              <w:bottom w:val="single" w:sz="4" w:space="0" w:color="auto"/>
              <w:right w:val="nil"/>
            </w:tcBorders>
          </w:tcPr>
          <w:p w14:paraId="1C30E208"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Belimumab, parenteral, je mg (OPS 6-006.6*)                                     </w:t>
            </w:r>
          </w:p>
        </w:tc>
        <w:tc>
          <w:tcPr>
            <w:tcW w:w="1986" w:type="dxa"/>
            <w:tcBorders>
              <w:top w:val="single" w:sz="4" w:space="0" w:color="auto"/>
              <w:left w:val="nil"/>
              <w:bottom w:val="single" w:sz="4" w:space="0" w:color="auto"/>
              <w:right w:val="single" w:sz="4" w:space="0" w:color="auto"/>
            </w:tcBorders>
          </w:tcPr>
          <w:p w14:paraId="1A5C154A" w14:textId="77777777" w:rsidR="008B0237" w:rsidRPr="008B0237" w:rsidRDefault="008B0237" w:rsidP="008B0237">
            <w:pPr>
              <w:spacing w:after="0" w:line="240" w:lineRule="auto"/>
              <w:ind w:left="1136"/>
              <w:jc w:val="right"/>
              <w:rPr>
                <w:rFonts w:eastAsia="Times New Roman" w:cs="Arial"/>
                <w:color w:val="auto"/>
                <w:sz w:val="16"/>
                <w:szCs w:val="16"/>
                <w:lang w:eastAsia="de-DE"/>
              </w:rPr>
            </w:pPr>
            <w:r w:rsidRPr="008B0237">
              <w:rPr>
                <w:rFonts w:eastAsia="Times New Roman" w:cs="Arial"/>
                <w:color w:val="auto"/>
                <w:sz w:val="16"/>
                <w:szCs w:val="16"/>
                <w:lang w:eastAsia="de-DE"/>
              </w:rPr>
              <w:t>1,29 €</w:t>
            </w:r>
          </w:p>
        </w:tc>
      </w:tr>
      <w:tr w:rsidR="008B0237" w:rsidRPr="008B0237" w14:paraId="60DF32A0" w14:textId="77777777" w:rsidTr="004A3D31">
        <w:trPr>
          <w:trHeight w:val="72"/>
        </w:trPr>
        <w:tc>
          <w:tcPr>
            <w:tcW w:w="2410" w:type="dxa"/>
            <w:tcBorders>
              <w:top w:val="single" w:sz="4" w:space="0" w:color="auto"/>
              <w:left w:val="single" w:sz="4" w:space="0" w:color="auto"/>
              <w:bottom w:val="single" w:sz="4" w:space="0" w:color="auto"/>
              <w:right w:val="nil"/>
            </w:tcBorders>
          </w:tcPr>
          <w:p w14:paraId="56349B50" w14:textId="612F967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 xml:space="preserve">-146                                     </w:t>
            </w:r>
          </w:p>
        </w:tc>
        <w:tc>
          <w:tcPr>
            <w:tcW w:w="6519" w:type="dxa"/>
            <w:tcBorders>
              <w:top w:val="single" w:sz="4" w:space="0" w:color="auto"/>
              <w:left w:val="nil"/>
              <w:bottom w:val="single" w:sz="4" w:space="0" w:color="auto"/>
              <w:right w:val="nil"/>
            </w:tcBorders>
          </w:tcPr>
          <w:p w14:paraId="3B373616"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 Ramucirumab, parenteral, je angef. Durchstechflasche à100mg (OPS6-007.m*)                                </w:t>
            </w:r>
          </w:p>
        </w:tc>
        <w:tc>
          <w:tcPr>
            <w:tcW w:w="1986" w:type="dxa"/>
            <w:tcBorders>
              <w:top w:val="single" w:sz="4" w:space="0" w:color="auto"/>
              <w:left w:val="nil"/>
              <w:bottom w:val="single" w:sz="4" w:space="0" w:color="auto"/>
              <w:right w:val="single" w:sz="4" w:space="0" w:color="auto"/>
            </w:tcBorders>
          </w:tcPr>
          <w:p w14:paraId="5022C4A8"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404,60 €</w:t>
            </w:r>
          </w:p>
        </w:tc>
      </w:tr>
      <w:tr w:rsidR="008B0237" w:rsidRPr="008B0237" w14:paraId="61896D09" w14:textId="77777777" w:rsidTr="004A3D31">
        <w:trPr>
          <w:trHeight w:val="72"/>
        </w:trPr>
        <w:tc>
          <w:tcPr>
            <w:tcW w:w="2410" w:type="dxa"/>
            <w:tcBorders>
              <w:top w:val="single" w:sz="4" w:space="0" w:color="auto"/>
              <w:left w:val="single" w:sz="4" w:space="0" w:color="auto"/>
              <w:bottom w:val="single" w:sz="4" w:space="0" w:color="auto"/>
              <w:right w:val="nil"/>
            </w:tcBorders>
          </w:tcPr>
          <w:p w14:paraId="6DA61CE8" w14:textId="6BD5EFA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-148</w:t>
            </w:r>
          </w:p>
        </w:tc>
        <w:tc>
          <w:tcPr>
            <w:tcW w:w="6519" w:type="dxa"/>
            <w:tcBorders>
              <w:top w:val="single" w:sz="4" w:space="0" w:color="auto"/>
              <w:left w:val="nil"/>
              <w:bottom w:val="single" w:sz="4" w:space="0" w:color="auto"/>
              <w:right w:val="nil"/>
            </w:tcBorders>
          </w:tcPr>
          <w:p w14:paraId="18AFE8FE" w14:textId="46D55504"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w:t>
            </w:r>
            <w:r w:rsidR="00A8668C">
              <w:rPr>
                <w:rFonts w:eastAsia="Times New Roman" w:cs="Arial"/>
                <w:color w:val="auto"/>
                <w:sz w:val="16"/>
                <w:szCs w:val="16"/>
                <w:lang w:eastAsia="de-DE"/>
              </w:rPr>
              <w:t xml:space="preserve">n Adalimumab, parenteral, je </w:t>
            </w:r>
            <w:r w:rsidRPr="008B0237">
              <w:rPr>
                <w:rFonts w:eastAsia="Times New Roman" w:cs="Arial"/>
                <w:color w:val="auto"/>
                <w:sz w:val="16"/>
                <w:szCs w:val="16"/>
                <w:lang w:eastAsia="de-DE"/>
              </w:rPr>
              <w:t>mg (OPS 6-001.d*)</w:t>
            </w:r>
          </w:p>
        </w:tc>
        <w:tc>
          <w:tcPr>
            <w:tcW w:w="1986" w:type="dxa"/>
            <w:tcBorders>
              <w:top w:val="single" w:sz="4" w:space="0" w:color="auto"/>
              <w:left w:val="nil"/>
              <w:bottom w:val="single" w:sz="4" w:space="0" w:color="auto"/>
              <w:right w:val="single" w:sz="4" w:space="0" w:color="auto"/>
            </w:tcBorders>
          </w:tcPr>
          <w:p w14:paraId="2F8A23BA" w14:textId="21829640"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A8668C">
              <w:rPr>
                <w:rFonts w:eastAsia="Times New Roman" w:cs="Arial"/>
                <w:color w:val="auto"/>
                <w:sz w:val="16"/>
                <w:szCs w:val="16"/>
                <w:lang w:eastAsia="de-DE"/>
              </w:rPr>
              <w:t xml:space="preserve">                              2,05</w:t>
            </w:r>
            <w:r w:rsidRPr="008B0237">
              <w:rPr>
                <w:rFonts w:eastAsia="Times New Roman" w:cs="Arial"/>
                <w:color w:val="auto"/>
                <w:sz w:val="16"/>
                <w:szCs w:val="16"/>
                <w:lang w:eastAsia="de-DE"/>
              </w:rPr>
              <w:t xml:space="preserve"> €</w:t>
            </w:r>
          </w:p>
        </w:tc>
      </w:tr>
      <w:tr w:rsidR="008B0237" w:rsidRPr="008B0237" w14:paraId="22B03495" w14:textId="77777777" w:rsidTr="004A3D31">
        <w:trPr>
          <w:trHeight w:val="72"/>
        </w:trPr>
        <w:tc>
          <w:tcPr>
            <w:tcW w:w="2410" w:type="dxa"/>
            <w:tcBorders>
              <w:top w:val="single" w:sz="4" w:space="0" w:color="auto"/>
              <w:left w:val="single" w:sz="4" w:space="0" w:color="auto"/>
              <w:bottom w:val="single" w:sz="4" w:space="0" w:color="auto"/>
              <w:right w:val="nil"/>
            </w:tcBorders>
          </w:tcPr>
          <w:p w14:paraId="6E8D3F4A" w14:textId="69D8F6CF"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-149</w:t>
            </w:r>
          </w:p>
        </w:tc>
        <w:tc>
          <w:tcPr>
            <w:tcW w:w="6519" w:type="dxa"/>
            <w:tcBorders>
              <w:top w:val="single" w:sz="4" w:space="0" w:color="auto"/>
              <w:left w:val="nil"/>
              <w:bottom w:val="single" w:sz="4" w:space="0" w:color="auto"/>
              <w:right w:val="nil"/>
            </w:tcBorders>
          </w:tcPr>
          <w:p w14:paraId="3BC1F597"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von Infliximab, parenteral, je mg (OPS 6-001.e*)</w:t>
            </w:r>
          </w:p>
        </w:tc>
        <w:tc>
          <w:tcPr>
            <w:tcW w:w="1986" w:type="dxa"/>
            <w:tcBorders>
              <w:top w:val="single" w:sz="4" w:space="0" w:color="auto"/>
              <w:left w:val="nil"/>
              <w:bottom w:val="single" w:sz="4" w:space="0" w:color="auto"/>
              <w:right w:val="single" w:sz="4" w:space="0" w:color="auto"/>
            </w:tcBorders>
          </w:tcPr>
          <w:p w14:paraId="1AF77780"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0,89 €</w:t>
            </w:r>
          </w:p>
        </w:tc>
      </w:tr>
      <w:tr w:rsidR="008B0237" w:rsidRPr="008B0237" w14:paraId="01ED8E0A" w14:textId="77777777" w:rsidTr="004A3D31">
        <w:trPr>
          <w:trHeight w:val="72"/>
        </w:trPr>
        <w:tc>
          <w:tcPr>
            <w:tcW w:w="2410" w:type="dxa"/>
            <w:tcBorders>
              <w:top w:val="single" w:sz="4" w:space="0" w:color="auto"/>
              <w:left w:val="single" w:sz="4" w:space="0" w:color="auto"/>
              <w:bottom w:val="single" w:sz="4" w:space="0" w:color="auto"/>
              <w:right w:val="nil"/>
            </w:tcBorders>
          </w:tcPr>
          <w:p w14:paraId="5CDDEBC1" w14:textId="00272A8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-151</w:t>
            </w:r>
          </w:p>
        </w:tc>
        <w:tc>
          <w:tcPr>
            <w:tcW w:w="6519" w:type="dxa"/>
            <w:tcBorders>
              <w:top w:val="single" w:sz="4" w:space="0" w:color="auto"/>
              <w:left w:val="nil"/>
              <w:bottom w:val="single" w:sz="4" w:space="0" w:color="auto"/>
              <w:right w:val="nil"/>
            </w:tcBorders>
          </w:tcPr>
          <w:p w14:paraId="48AA2AB9"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Rituximab, intravenös, je 100 mg (OPS 6-001.h*)         </w:t>
            </w:r>
          </w:p>
        </w:tc>
        <w:tc>
          <w:tcPr>
            <w:tcW w:w="1986" w:type="dxa"/>
            <w:tcBorders>
              <w:top w:val="single" w:sz="4" w:space="0" w:color="auto"/>
              <w:left w:val="nil"/>
              <w:bottom w:val="single" w:sz="4" w:space="0" w:color="auto"/>
              <w:right w:val="single" w:sz="4" w:space="0" w:color="auto"/>
            </w:tcBorders>
          </w:tcPr>
          <w:p w14:paraId="4335CC5B" w14:textId="1D415825"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585689">
              <w:rPr>
                <w:rFonts w:eastAsia="Times New Roman" w:cs="Arial"/>
                <w:color w:val="auto"/>
                <w:sz w:val="16"/>
                <w:szCs w:val="16"/>
                <w:lang w:eastAsia="de-DE"/>
              </w:rPr>
              <w:t xml:space="preserve">                           54</w:t>
            </w:r>
            <w:r w:rsidR="006027C9">
              <w:rPr>
                <w:rFonts w:eastAsia="Times New Roman" w:cs="Arial"/>
                <w:color w:val="auto"/>
                <w:sz w:val="16"/>
                <w:szCs w:val="16"/>
                <w:lang w:eastAsia="de-DE"/>
              </w:rPr>
              <w:t xml:space="preserve">,00 </w:t>
            </w:r>
            <w:r w:rsidRPr="008B0237">
              <w:rPr>
                <w:rFonts w:eastAsia="Times New Roman" w:cs="Arial"/>
                <w:color w:val="auto"/>
                <w:sz w:val="16"/>
                <w:szCs w:val="16"/>
                <w:lang w:eastAsia="de-DE"/>
              </w:rPr>
              <w:t>€</w:t>
            </w:r>
          </w:p>
        </w:tc>
      </w:tr>
      <w:tr w:rsidR="008B0237" w:rsidRPr="008B0237" w14:paraId="2DEB2844" w14:textId="77777777" w:rsidTr="004A3D31">
        <w:trPr>
          <w:trHeight w:val="72"/>
        </w:trPr>
        <w:tc>
          <w:tcPr>
            <w:tcW w:w="2410" w:type="dxa"/>
            <w:tcBorders>
              <w:top w:val="single" w:sz="4" w:space="0" w:color="auto"/>
              <w:left w:val="single" w:sz="4" w:space="0" w:color="auto"/>
              <w:bottom w:val="single" w:sz="4" w:space="0" w:color="auto"/>
              <w:right w:val="nil"/>
            </w:tcBorders>
          </w:tcPr>
          <w:p w14:paraId="116EB3FB" w14:textId="1E679039"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-161</w:t>
            </w:r>
          </w:p>
        </w:tc>
        <w:tc>
          <w:tcPr>
            <w:tcW w:w="6519" w:type="dxa"/>
            <w:tcBorders>
              <w:top w:val="single" w:sz="4" w:space="0" w:color="auto"/>
              <w:left w:val="nil"/>
              <w:bottom w:val="single" w:sz="4" w:space="0" w:color="auto"/>
              <w:right w:val="nil"/>
            </w:tcBorders>
          </w:tcPr>
          <w:p w14:paraId="5EFB6D50"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von Nivolumab, parenteral, je 40 mg (OPS 6-008.m*)</w:t>
            </w:r>
          </w:p>
        </w:tc>
        <w:tc>
          <w:tcPr>
            <w:tcW w:w="1986" w:type="dxa"/>
            <w:tcBorders>
              <w:top w:val="single" w:sz="4" w:space="0" w:color="auto"/>
              <w:left w:val="nil"/>
              <w:bottom w:val="single" w:sz="4" w:space="0" w:color="auto"/>
              <w:right w:val="single" w:sz="4" w:space="0" w:color="auto"/>
            </w:tcBorders>
          </w:tcPr>
          <w:p w14:paraId="6E9D91B1"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481,97 €</w:t>
            </w:r>
          </w:p>
        </w:tc>
      </w:tr>
      <w:tr w:rsidR="008B0237" w:rsidRPr="008B0237" w14:paraId="28C060DF" w14:textId="77777777" w:rsidTr="004A3D31">
        <w:trPr>
          <w:trHeight w:val="72"/>
        </w:trPr>
        <w:tc>
          <w:tcPr>
            <w:tcW w:w="2410" w:type="dxa"/>
            <w:tcBorders>
              <w:top w:val="single" w:sz="4" w:space="0" w:color="auto"/>
              <w:left w:val="single" w:sz="4" w:space="0" w:color="auto"/>
              <w:bottom w:val="single" w:sz="4" w:space="0" w:color="auto"/>
              <w:right w:val="nil"/>
            </w:tcBorders>
          </w:tcPr>
          <w:p w14:paraId="31748103" w14:textId="4D4476C7"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-163</w:t>
            </w:r>
          </w:p>
        </w:tc>
        <w:tc>
          <w:tcPr>
            <w:tcW w:w="6519" w:type="dxa"/>
            <w:tcBorders>
              <w:top w:val="single" w:sz="4" w:space="0" w:color="auto"/>
              <w:left w:val="nil"/>
              <w:bottom w:val="single" w:sz="4" w:space="0" w:color="auto"/>
              <w:right w:val="nil"/>
            </w:tcBorders>
          </w:tcPr>
          <w:p w14:paraId="5D860E6E"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von Macitentan, oral, je 10 mg Tablette (OPS 6-007.h)</w:t>
            </w:r>
          </w:p>
        </w:tc>
        <w:tc>
          <w:tcPr>
            <w:tcW w:w="1986" w:type="dxa"/>
            <w:tcBorders>
              <w:top w:val="single" w:sz="4" w:space="0" w:color="auto"/>
              <w:left w:val="nil"/>
              <w:bottom w:val="single" w:sz="4" w:space="0" w:color="auto"/>
              <w:right w:val="single" w:sz="4" w:space="0" w:color="auto"/>
            </w:tcBorders>
          </w:tcPr>
          <w:p w14:paraId="7AE47098" w14:textId="41ED1C81"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B602CD">
              <w:rPr>
                <w:rFonts w:eastAsia="Times New Roman" w:cs="Arial"/>
                <w:color w:val="auto"/>
                <w:sz w:val="16"/>
                <w:szCs w:val="16"/>
                <w:lang w:eastAsia="de-DE"/>
              </w:rPr>
              <w:t xml:space="preserve">                           50,60</w:t>
            </w:r>
            <w:r w:rsidRPr="008B0237">
              <w:rPr>
                <w:rFonts w:eastAsia="Times New Roman" w:cs="Arial"/>
                <w:color w:val="auto"/>
                <w:sz w:val="16"/>
                <w:szCs w:val="16"/>
                <w:lang w:eastAsia="de-DE"/>
              </w:rPr>
              <w:t xml:space="preserve"> €</w:t>
            </w:r>
          </w:p>
        </w:tc>
      </w:tr>
      <w:tr w:rsidR="008B0237" w:rsidRPr="008B0237" w14:paraId="54836806" w14:textId="77777777" w:rsidTr="004A3D31">
        <w:trPr>
          <w:trHeight w:val="72"/>
        </w:trPr>
        <w:tc>
          <w:tcPr>
            <w:tcW w:w="2410" w:type="dxa"/>
            <w:tcBorders>
              <w:top w:val="single" w:sz="4" w:space="0" w:color="auto"/>
              <w:left w:val="single" w:sz="4" w:space="0" w:color="auto"/>
              <w:bottom w:val="single" w:sz="4" w:space="0" w:color="auto"/>
              <w:right w:val="nil"/>
            </w:tcBorders>
          </w:tcPr>
          <w:p w14:paraId="775102FB" w14:textId="4F7CB250"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-164</w:t>
            </w:r>
          </w:p>
        </w:tc>
        <w:tc>
          <w:tcPr>
            <w:tcW w:w="6519" w:type="dxa"/>
            <w:tcBorders>
              <w:top w:val="single" w:sz="4" w:space="0" w:color="auto"/>
              <w:left w:val="nil"/>
              <w:bottom w:val="single" w:sz="4" w:space="0" w:color="auto"/>
              <w:right w:val="nil"/>
            </w:tcBorders>
          </w:tcPr>
          <w:p w14:paraId="79EC4B52"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Riociguat, oral, je 0,5-2,5 mg Filmtablette (OPS 6-008.0*)                            </w:t>
            </w:r>
          </w:p>
        </w:tc>
        <w:tc>
          <w:tcPr>
            <w:tcW w:w="1986" w:type="dxa"/>
            <w:tcBorders>
              <w:top w:val="single" w:sz="4" w:space="0" w:color="auto"/>
              <w:left w:val="nil"/>
              <w:bottom w:val="single" w:sz="4" w:space="0" w:color="auto"/>
              <w:right w:val="single" w:sz="4" w:space="0" w:color="auto"/>
            </w:tcBorders>
          </w:tcPr>
          <w:p w14:paraId="7912779B"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16,67 €</w:t>
            </w:r>
          </w:p>
        </w:tc>
      </w:tr>
      <w:tr w:rsidR="008B0237" w:rsidRPr="008B0237" w14:paraId="1803D582" w14:textId="77777777" w:rsidTr="004A3D31">
        <w:trPr>
          <w:trHeight w:val="72"/>
        </w:trPr>
        <w:tc>
          <w:tcPr>
            <w:tcW w:w="2410" w:type="dxa"/>
            <w:tcBorders>
              <w:top w:val="single" w:sz="4" w:space="0" w:color="auto"/>
              <w:left w:val="single" w:sz="4" w:space="0" w:color="auto"/>
              <w:bottom w:val="single" w:sz="4" w:space="0" w:color="auto"/>
              <w:right w:val="nil"/>
            </w:tcBorders>
          </w:tcPr>
          <w:p w14:paraId="503A8B9D" w14:textId="5CFC82C1"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-177</w:t>
            </w:r>
          </w:p>
        </w:tc>
        <w:tc>
          <w:tcPr>
            <w:tcW w:w="6519" w:type="dxa"/>
            <w:tcBorders>
              <w:top w:val="single" w:sz="4" w:space="0" w:color="auto"/>
              <w:left w:val="nil"/>
              <w:bottom w:val="single" w:sz="4" w:space="0" w:color="auto"/>
              <w:right w:val="nil"/>
            </w:tcBorders>
          </w:tcPr>
          <w:p w14:paraId="710AF347"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Pegfilgrastim, parenteral, je 6 mg (OPS 6-002.7*)                                                            </w:t>
            </w:r>
          </w:p>
        </w:tc>
        <w:tc>
          <w:tcPr>
            <w:tcW w:w="1986" w:type="dxa"/>
            <w:tcBorders>
              <w:top w:val="single" w:sz="4" w:space="0" w:color="auto"/>
              <w:left w:val="nil"/>
              <w:bottom w:val="single" w:sz="4" w:space="0" w:color="auto"/>
              <w:right w:val="single" w:sz="4" w:space="0" w:color="auto"/>
            </w:tcBorders>
          </w:tcPr>
          <w:p w14:paraId="4C23E48D" w14:textId="44A1591E"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6142BB">
              <w:rPr>
                <w:rFonts w:eastAsia="Times New Roman" w:cs="Arial"/>
                <w:color w:val="auto"/>
                <w:sz w:val="16"/>
                <w:szCs w:val="16"/>
                <w:lang w:eastAsia="de-DE"/>
              </w:rPr>
              <w:t xml:space="preserve">                            85,68</w:t>
            </w:r>
            <w:r w:rsidRPr="008B0237">
              <w:rPr>
                <w:rFonts w:eastAsia="Times New Roman" w:cs="Arial"/>
                <w:color w:val="auto"/>
                <w:sz w:val="16"/>
                <w:szCs w:val="16"/>
                <w:lang w:eastAsia="de-DE"/>
              </w:rPr>
              <w:t xml:space="preserve"> €</w:t>
            </w:r>
          </w:p>
        </w:tc>
      </w:tr>
      <w:tr w:rsidR="008B0237" w:rsidRPr="008B0237" w14:paraId="67C8247E" w14:textId="77777777" w:rsidTr="004A3D31">
        <w:trPr>
          <w:trHeight w:val="72"/>
        </w:trPr>
        <w:tc>
          <w:tcPr>
            <w:tcW w:w="2410" w:type="dxa"/>
            <w:tcBorders>
              <w:top w:val="single" w:sz="4" w:space="0" w:color="auto"/>
              <w:left w:val="single" w:sz="4" w:space="0" w:color="auto"/>
              <w:bottom w:val="single" w:sz="4" w:space="0" w:color="auto"/>
              <w:right w:val="nil"/>
            </w:tcBorders>
          </w:tcPr>
          <w:p w14:paraId="66229F5C" w14:textId="3665A316"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lastRenderedPageBreak/>
              <w:t>ZE 2025</w:t>
            </w:r>
            <w:r w:rsidR="008B0237" w:rsidRPr="008B0237">
              <w:rPr>
                <w:rFonts w:eastAsia="Times New Roman" w:cs="Arial"/>
                <w:color w:val="auto"/>
                <w:sz w:val="16"/>
                <w:szCs w:val="16"/>
                <w:lang w:eastAsia="de-DE"/>
              </w:rPr>
              <w:t>-194</w:t>
            </w:r>
          </w:p>
        </w:tc>
        <w:tc>
          <w:tcPr>
            <w:tcW w:w="6519" w:type="dxa"/>
            <w:tcBorders>
              <w:top w:val="single" w:sz="4" w:space="0" w:color="auto"/>
              <w:left w:val="nil"/>
              <w:bottom w:val="single" w:sz="4" w:space="0" w:color="auto"/>
              <w:right w:val="nil"/>
            </w:tcBorders>
          </w:tcPr>
          <w:p w14:paraId="59488308" w14:textId="63577788"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w:t>
            </w:r>
            <w:r w:rsidR="006142BB">
              <w:rPr>
                <w:rFonts w:eastAsia="Times New Roman" w:cs="Arial"/>
                <w:color w:val="auto"/>
                <w:sz w:val="16"/>
                <w:szCs w:val="16"/>
                <w:lang w:eastAsia="de-DE"/>
              </w:rPr>
              <w:t xml:space="preserve">n Ustekinumab, intravenös je 130 </w:t>
            </w:r>
            <w:r w:rsidRPr="008B0237">
              <w:rPr>
                <w:rFonts w:eastAsia="Times New Roman" w:cs="Arial"/>
                <w:color w:val="auto"/>
                <w:sz w:val="16"/>
                <w:szCs w:val="16"/>
                <w:lang w:eastAsia="de-DE"/>
              </w:rPr>
              <w:t>mg (OPS 6-005.p*)</w:t>
            </w:r>
          </w:p>
        </w:tc>
        <w:tc>
          <w:tcPr>
            <w:tcW w:w="1986" w:type="dxa"/>
            <w:tcBorders>
              <w:top w:val="single" w:sz="4" w:space="0" w:color="auto"/>
              <w:left w:val="nil"/>
              <w:bottom w:val="single" w:sz="4" w:space="0" w:color="auto"/>
              <w:right w:val="single" w:sz="4" w:space="0" w:color="auto"/>
            </w:tcBorders>
          </w:tcPr>
          <w:p w14:paraId="4DD7B85A" w14:textId="7782ED14" w:rsidR="008B0237" w:rsidRPr="008B0237" w:rsidRDefault="008B0237" w:rsidP="00B602CD">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B602CD">
              <w:rPr>
                <w:rFonts w:eastAsia="Times New Roman" w:cs="Arial"/>
                <w:color w:val="auto"/>
                <w:sz w:val="16"/>
                <w:szCs w:val="16"/>
                <w:lang w:eastAsia="de-DE"/>
              </w:rPr>
              <w:t>2.796,57</w:t>
            </w:r>
            <w:r w:rsidRPr="008B0237">
              <w:rPr>
                <w:rFonts w:eastAsia="Times New Roman" w:cs="Arial"/>
                <w:color w:val="auto"/>
                <w:sz w:val="16"/>
                <w:szCs w:val="16"/>
                <w:lang w:eastAsia="de-DE"/>
              </w:rPr>
              <w:t xml:space="preserve"> €</w:t>
            </w:r>
          </w:p>
        </w:tc>
      </w:tr>
      <w:tr w:rsidR="008B0237" w:rsidRPr="008B0237" w14:paraId="5AEAB019" w14:textId="77777777" w:rsidTr="004A3D31">
        <w:trPr>
          <w:trHeight w:val="72"/>
        </w:trPr>
        <w:tc>
          <w:tcPr>
            <w:tcW w:w="2410" w:type="dxa"/>
            <w:tcBorders>
              <w:top w:val="single" w:sz="4" w:space="0" w:color="auto"/>
              <w:left w:val="single" w:sz="4" w:space="0" w:color="auto"/>
              <w:bottom w:val="single" w:sz="4" w:space="0" w:color="auto"/>
              <w:right w:val="nil"/>
            </w:tcBorders>
          </w:tcPr>
          <w:p w14:paraId="042CE0C6" w14:textId="2A645718"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-195</w:t>
            </w:r>
          </w:p>
        </w:tc>
        <w:tc>
          <w:tcPr>
            <w:tcW w:w="6519" w:type="dxa"/>
            <w:tcBorders>
              <w:top w:val="single" w:sz="4" w:space="0" w:color="auto"/>
              <w:left w:val="nil"/>
              <w:bottom w:val="single" w:sz="4" w:space="0" w:color="auto"/>
              <w:right w:val="nil"/>
            </w:tcBorders>
          </w:tcPr>
          <w:p w14:paraId="48B7CE17" w14:textId="64BEC8BF"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Gabe von Ustekinumab, su</w:t>
            </w:r>
            <w:r w:rsidR="000077DA">
              <w:rPr>
                <w:rFonts w:eastAsia="Times New Roman" w:cs="Arial"/>
                <w:color w:val="auto"/>
                <w:sz w:val="16"/>
                <w:szCs w:val="16"/>
                <w:lang w:eastAsia="de-DE"/>
              </w:rPr>
              <w:t>bkutan, je 45/90 mg (OPS 6-005.q</w:t>
            </w:r>
            <w:r w:rsidRPr="008B0237">
              <w:rPr>
                <w:rFonts w:eastAsia="Times New Roman" w:cs="Arial"/>
                <w:color w:val="auto"/>
                <w:sz w:val="16"/>
                <w:szCs w:val="16"/>
                <w:lang w:eastAsia="de-DE"/>
              </w:rPr>
              <w:t>*)</w:t>
            </w:r>
          </w:p>
        </w:tc>
        <w:tc>
          <w:tcPr>
            <w:tcW w:w="1986" w:type="dxa"/>
            <w:tcBorders>
              <w:top w:val="single" w:sz="4" w:space="0" w:color="auto"/>
              <w:left w:val="nil"/>
              <w:bottom w:val="single" w:sz="4" w:space="0" w:color="auto"/>
              <w:right w:val="single" w:sz="4" w:space="0" w:color="auto"/>
            </w:tcBorders>
          </w:tcPr>
          <w:p w14:paraId="4E6A311B"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5.593,15 €</w:t>
            </w:r>
          </w:p>
        </w:tc>
      </w:tr>
      <w:tr w:rsidR="008B0237" w:rsidRPr="008B0237" w14:paraId="1E37378C" w14:textId="77777777" w:rsidTr="004A3D31">
        <w:trPr>
          <w:trHeight w:val="72"/>
        </w:trPr>
        <w:tc>
          <w:tcPr>
            <w:tcW w:w="2410" w:type="dxa"/>
            <w:tcBorders>
              <w:top w:val="single" w:sz="4" w:space="0" w:color="auto"/>
              <w:left w:val="single" w:sz="4" w:space="0" w:color="auto"/>
              <w:bottom w:val="single" w:sz="4" w:space="0" w:color="auto"/>
              <w:right w:val="nil"/>
            </w:tcBorders>
          </w:tcPr>
          <w:p w14:paraId="7872A05F" w14:textId="6C550ADB"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-203</w:t>
            </w:r>
          </w:p>
        </w:tc>
        <w:tc>
          <w:tcPr>
            <w:tcW w:w="6519" w:type="dxa"/>
            <w:tcBorders>
              <w:top w:val="single" w:sz="4" w:space="0" w:color="auto"/>
              <w:left w:val="nil"/>
              <w:bottom w:val="single" w:sz="4" w:space="0" w:color="auto"/>
              <w:right w:val="nil"/>
            </w:tcBorders>
          </w:tcPr>
          <w:p w14:paraId="607F4EED"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Gabe von Durvalumab, parenteral, je mg (OPS 6-00b.7*)                                                               </w:t>
            </w:r>
          </w:p>
        </w:tc>
        <w:tc>
          <w:tcPr>
            <w:tcW w:w="1986" w:type="dxa"/>
            <w:tcBorders>
              <w:top w:val="single" w:sz="4" w:space="0" w:color="auto"/>
              <w:left w:val="nil"/>
              <w:bottom w:val="single" w:sz="4" w:space="0" w:color="auto"/>
              <w:right w:val="single" w:sz="4" w:space="0" w:color="auto"/>
            </w:tcBorders>
          </w:tcPr>
          <w:p w14:paraId="0F03C207" w14:textId="4FF7D2B6"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w:t>
            </w:r>
            <w:r w:rsidR="00237C5A">
              <w:rPr>
                <w:rFonts w:eastAsia="Times New Roman" w:cs="Arial"/>
                <w:color w:val="auto"/>
                <w:sz w:val="16"/>
                <w:szCs w:val="16"/>
                <w:lang w:eastAsia="de-DE"/>
              </w:rPr>
              <w:t xml:space="preserve">                            3,98</w:t>
            </w:r>
            <w:r w:rsidRPr="008B0237">
              <w:rPr>
                <w:rFonts w:eastAsia="Times New Roman" w:cs="Arial"/>
                <w:color w:val="auto"/>
                <w:sz w:val="16"/>
                <w:szCs w:val="16"/>
                <w:lang w:eastAsia="de-DE"/>
              </w:rPr>
              <w:t xml:space="preserve"> €</w:t>
            </w:r>
          </w:p>
        </w:tc>
      </w:tr>
      <w:tr w:rsidR="00932E1B" w:rsidRPr="008B0237" w14:paraId="23320288" w14:textId="77777777" w:rsidTr="004A3D31">
        <w:trPr>
          <w:trHeight w:val="72"/>
        </w:trPr>
        <w:tc>
          <w:tcPr>
            <w:tcW w:w="2410" w:type="dxa"/>
            <w:tcBorders>
              <w:top w:val="single" w:sz="4" w:space="0" w:color="auto"/>
              <w:left w:val="single" w:sz="4" w:space="0" w:color="auto"/>
              <w:bottom w:val="single" w:sz="4" w:space="0" w:color="auto"/>
              <w:right w:val="nil"/>
            </w:tcBorders>
          </w:tcPr>
          <w:p w14:paraId="0948FC12" w14:textId="67C222EF" w:rsidR="00932E1B" w:rsidRPr="008B0237" w:rsidRDefault="00007889" w:rsidP="00932E1B">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932E1B">
              <w:rPr>
                <w:rFonts w:eastAsia="Times New Roman" w:cs="Arial"/>
                <w:color w:val="auto"/>
                <w:sz w:val="16"/>
                <w:szCs w:val="16"/>
                <w:lang w:eastAsia="de-DE"/>
              </w:rPr>
              <w:t xml:space="preserve">-211                 </w:t>
            </w:r>
          </w:p>
        </w:tc>
        <w:tc>
          <w:tcPr>
            <w:tcW w:w="6519" w:type="dxa"/>
            <w:tcBorders>
              <w:top w:val="single" w:sz="4" w:space="0" w:color="auto"/>
              <w:left w:val="nil"/>
              <w:bottom w:val="single" w:sz="4" w:space="0" w:color="auto"/>
              <w:right w:val="nil"/>
            </w:tcBorders>
          </w:tcPr>
          <w:p w14:paraId="4FFAF04A" w14:textId="5C8D8C7E" w:rsidR="00932E1B" w:rsidRPr="008B0237" w:rsidRDefault="00932E1B" w:rsidP="008B0237">
            <w:pPr>
              <w:spacing w:after="0" w:line="240" w:lineRule="auto"/>
              <w:ind w:right="282"/>
              <w:rPr>
                <w:rFonts w:eastAsia="Times New Roman" w:cs="Arial"/>
                <w:color w:val="auto"/>
                <w:sz w:val="16"/>
                <w:szCs w:val="16"/>
                <w:lang w:eastAsia="de-DE"/>
              </w:rPr>
            </w:pPr>
            <w:r>
              <w:rPr>
                <w:rFonts w:eastAsia="Times New Roman" w:cs="Arial"/>
                <w:color w:val="auto"/>
                <w:sz w:val="16"/>
                <w:szCs w:val="16"/>
                <w:lang w:eastAsia="de-DE"/>
              </w:rPr>
              <w:t>Gabe von Tocilizumab, intravenös, je mg (OPS 6-005.m*)</w:t>
            </w:r>
          </w:p>
        </w:tc>
        <w:tc>
          <w:tcPr>
            <w:tcW w:w="1986" w:type="dxa"/>
            <w:tcBorders>
              <w:top w:val="single" w:sz="4" w:space="0" w:color="auto"/>
              <w:left w:val="nil"/>
              <w:bottom w:val="single" w:sz="4" w:space="0" w:color="auto"/>
              <w:right w:val="single" w:sz="4" w:space="0" w:color="auto"/>
            </w:tcBorders>
          </w:tcPr>
          <w:p w14:paraId="68E13819" w14:textId="0B369ACA" w:rsidR="00932E1B" w:rsidRPr="008B0237" w:rsidRDefault="00932E1B"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 xml:space="preserve">      </w:t>
            </w:r>
            <w:r w:rsidR="009F4D4F">
              <w:rPr>
                <w:rFonts w:eastAsia="Times New Roman" w:cs="Arial"/>
                <w:color w:val="auto"/>
                <w:sz w:val="16"/>
                <w:szCs w:val="16"/>
                <w:lang w:eastAsia="de-DE"/>
              </w:rPr>
              <w:t xml:space="preserve">                            2,62</w:t>
            </w:r>
            <w:r>
              <w:rPr>
                <w:rFonts w:eastAsia="Times New Roman" w:cs="Arial"/>
                <w:color w:val="auto"/>
                <w:sz w:val="16"/>
                <w:szCs w:val="16"/>
                <w:lang w:eastAsia="de-DE"/>
              </w:rPr>
              <w:t xml:space="preserve"> €</w:t>
            </w:r>
          </w:p>
        </w:tc>
      </w:tr>
      <w:tr w:rsidR="00217FA9" w:rsidRPr="008B0237" w14:paraId="19D6DAB2" w14:textId="77777777" w:rsidTr="004A3D31">
        <w:trPr>
          <w:trHeight w:val="72"/>
        </w:trPr>
        <w:tc>
          <w:tcPr>
            <w:tcW w:w="2410" w:type="dxa"/>
            <w:tcBorders>
              <w:top w:val="single" w:sz="4" w:space="0" w:color="auto"/>
              <w:left w:val="single" w:sz="4" w:space="0" w:color="auto"/>
              <w:bottom w:val="single" w:sz="4" w:space="0" w:color="auto"/>
              <w:right w:val="nil"/>
            </w:tcBorders>
          </w:tcPr>
          <w:p w14:paraId="47DF7865" w14:textId="3A88A96A" w:rsidR="00217FA9" w:rsidRDefault="00007889" w:rsidP="00932E1B">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217FA9">
              <w:rPr>
                <w:rFonts w:eastAsia="Times New Roman" w:cs="Arial"/>
                <w:color w:val="auto"/>
                <w:sz w:val="16"/>
                <w:szCs w:val="16"/>
                <w:lang w:eastAsia="de-DE"/>
              </w:rPr>
              <w:t>-212</w:t>
            </w:r>
          </w:p>
        </w:tc>
        <w:tc>
          <w:tcPr>
            <w:tcW w:w="6519" w:type="dxa"/>
            <w:tcBorders>
              <w:top w:val="single" w:sz="4" w:space="0" w:color="auto"/>
              <w:left w:val="nil"/>
              <w:bottom w:val="single" w:sz="4" w:space="0" w:color="auto"/>
              <w:right w:val="nil"/>
            </w:tcBorders>
          </w:tcPr>
          <w:p w14:paraId="631A835F" w14:textId="07253074" w:rsidR="00217FA9" w:rsidRDefault="00217FA9" w:rsidP="008B0237">
            <w:pPr>
              <w:spacing w:after="0" w:line="240" w:lineRule="auto"/>
              <w:ind w:right="282"/>
              <w:rPr>
                <w:rFonts w:eastAsia="Times New Roman" w:cs="Arial"/>
                <w:color w:val="auto"/>
                <w:sz w:val="16"/>
                <w:szCs w:val="16"/>
                <w:lang w:eastAsia="de-DE"/>
              </w:rPr>
            </w:pPr>
            <w:r>
              <w:rPr>
                <w:rFonts w:eastAsia="Times New Roman" w:cs="Arial"/>
                <w:color w:val="auto"/>
                <w:sz w:val="16"/>
                <w:szCs w:val="16"/>
                <w:lang w:eastAsia="de-DE"/>
              </w:rPr>
              <w:t xml:space="preserve">Gabe von Idarucizumab, parenteral, je 2,5 mg </w:t>
            </w:r>
          </w:p>
        </w:tc>
        <w:tc>
          <w:tcPr>
            <w:tcW w:w="1986" w:type="dxa"/>
            <w:tcBorders>
              <w:top w:val="single" w:sz="4" w:space="0" w:color="auto"/>
              <w:left w:val="nil"/>
              <w:bottom w:val="single" w:sz="4" w:space="0" w:color="auto"/>
              <w:right w:val="single" w:sz="4" w:space="0" w:color="auto"/>
            </w:tcBorders>
          </w:tcPr>
          <w:p w14:paraId="0B2EB4B2" w14:textId="669BCF51" w:rsidR="00217FA9" w:rsidRDefault="00217FA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 xml:space="preserve">                           1.487,50 €</w:t>
            </w:r>
          </w:p>
        </w:tc>
      </w:tr>
      <w:tr w:rsidR="00D9223B" w:rsidRPr="008B0237" w14:paraId="5CA969F3" w14:textId="77777777" w:rsidTr="004A3D31">
        <w:trPr>
          <w:trHeight w:val="72"/>
        </w:trPr>
        <w:tc>
          <w:tcPr>
            <w:tcW w:w="2410" w:type="dxa"/>
            <w:tcBorders>
              <w:top w:val="single" w:sz="4" w:space="0" w:color="auto"/>
              <w:left w:val="single" w:sz="4" w:space="0" w:color="auto"/>
              <w:bottom w:val="single" w:sz="4" w:space="0" w:color="auto"/>
              <w:right w:val="nil"/>
            </w:tcBorders>
          </w:tcPr>
          <w:p w14:paraId="657E1307" w14:textId="37BCEDE6" w:rsidR="00D9223B" w:rsidRDefault="00007889" w:rsidP="00932E1B">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D9223B">
              <w:rPr>
                <w:rFonts w:eastAsia="Times New Roman" w:cs="Arial"/>
                <w:color w:val="auto"/>
                <w:sz w:val="16"/>
                <w:szCs w:val="16"/>
                <w:lang w:eastAsia="de-DE"/>
              </w:rPr>
              <w:t xml:space="preserve">-213 </w:t>
            </w:r>
          </w:p>
        </w:tc>
        <w:tc>
          <w:tcPr>
            <w:tcW w:w="6519" w:type="dxa"/>
            <w:tcBorders>
              <w:top w:val="single" w:sz="4" w:space="0" w:color="auto"/>
              <w:left w:val="nil"/>
              <w:bottom w:val="single" w:sz="4" w:space="0" w:color="auto"/>
              <w:right w:val="nil"/>
            </w:tcBorders>
          </w:tcPr>
          <w:p w14:paraId="30ACD793" w14:textId="4C79832C" w:rsidR="00D9223B" w:rsidRDefault="00D9223B" w:rsidP="008B0237">
            <w:pPr>
              <w:spacing w:after="0" w:line="240" w:lineRule="auto"/>
              <w:ind w:right="282"/>
              <w:rPr>
                <w:rFonts w:eastAsia="Times New Roman" w:cs="Arial"/>
                <w:color w:val="auto"/>
                <w:sz w:val="16"/>
                <w:szCs w:val="16"/>
                <w:lang w:eastAsia="de-DE"/>
              </w:rPr>
            </w:pPr>
            <w:r>
              <w:rPr>
                <w:rFonts w:eastAsia="Times New Roman" w:cs="Arial"/>
                <w:color w:val="auto"/>
                <w:sz w:val="16"/>
                <w:szCs w:val="16"/>
                <w:lang w:eastAsia="de-DE"/>
              </w:rPr>
              <w:t>Gabe von Andexanet alfa, parenteral, je 200 mg (OPS 6-00c.0)</w:t>
            </w:r>
          </w:p>
        </w:tc>
        <w:tc>
          <w:tcPr>
            <w:tcW w:w="1986" w:type="dxa"/>
            <w:tcBorders>
              <w:top w:val="single" w:sz="4" w:space="0" w:color="auto"/>
              <w:left w:val="nil"/>
              <w:bottom w:val="single" w:sz="4" w:space="0" w:color="auto"/>
              <w:right w:val="single" w:sz="4" w:space="0" w:color="auto"/>
            </w:tcBorders>
          </w:tcPr>
          <w:p w14:paraId="71D6E8AF" w14:textId="71B533AA" w:rsidR="00D9223B" w:rsidRDefault="00FB0047"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 xml:space="preserve">                           2.021</w:t>
            </w:r>
            <w:bookmarkStart w:id="0" w:name="_GoBack"/>
            <w:bookmarkEnd w:id="0"/>
            <w:r w:rsidR="00D9223B">
              <w:rPr>
                <w:rFonts w:eastAsia="Times New Roman" w:cs="Arial"/>
                <w:color w:val="auto"/>
                <w:sz w:val="16"/>
                <w:szCs w:val="16"/>
                <w:lang w:eastAsia="de-DE"/>
              </w:rPr>
              <w:t>,50 €</w:t>
            </w:r>
          </w:p>
        </w:tc>
      </w:tr>
      <w:tr w:rsidR="008B0237" w:rsidRPr="008B0237" w14:paraId="6426EC9A" w14:textId="77777777" w:rsidTr="004A3D31">
        <w:trPr>
          <w:trHeight w:val="72"/>
        </w:trPr>
        <w:tc>
          <w:tcPr>
            <w:tcW w:w="2410" w:type="dxa"/>
            <w:tcBorders>
              <w:top w:val="single" w:sz="4" w:space="0" w:color="auto"/>
              <w:left w:val="single" w:sz="4" w:space="0" w:color="auto"/>
              <w:bottom w:val="single" w:sz="4" w:space="0" w:color="auto"/>
              <w:right w:val="nil"/>
            </w:tcBorders>
          </w:tcPr>
          <w:p w14:paraId="475AC7C2" w14:textId="33AF6683" w:rsidR="008B0237" w:rsidRPr="008B0237" w:rsidRDefault="00007889" w:rsidP="008B0237">
            <w:pPr>
              <w:spacing w:after="0" w:line="240" w:lineRule="auto"/>
              <w:rPr>
                <w:rFonts w:eastAsia="Times New Roman" w:cs="Arial"/>
                <w:color w:val="auto"/>
                <w:sz w:val="16"/>
                <w:szCs w:val="16"/>
                <w:lang w:eastAsia="de-DE"/>
              </w:rPr>
            </w:pPr>
            <w:r>
              <w:rPr>
                <w:rFonts w:eastAsia="Times New Roman" w:cs="Arial"/>
                <w:color w:val="auto"/>
                <w:sz w:val="16"/>
                <w:szCs w:val="16"/>
                <w:lang w:eastAsia="de-DE"/>
              </w:rPr>
              <w:t>ZE 2025</w:t>
            </w:r>
            <w:r w:rsidR="008B0237" w:rsidRPr="008B0237">
              <w:rPr>
                <w:rFonts w:eastAsia="Times New Roman" w:cs="Arial"/>
                <w:color w:val="auto"/>
                <w:sz w:val="16"/>
                <w:szCs w:val="16"/>
                <w:lang w:eastAsia="de-DE"/>
              </w:rPr>
              <w:t>-137, -138, -139</w:t>
            </w:r>
          </w:p>
        </w:tc>
        <w:tc>
          <w:tcPr>
            <w:tcW w:w="6519" w:type="dxa"/>
            <w:tcBorders>
              <w:top w:val="single" w:sz="4" w:space="0" w:color="auto"/>
              <w:left w:val="nil"/>
              <w:bottom w:val="single" w:sz="4" w:space="0" w:color="auto"/>
              <w:right w:val="nil"/>
            </w:tcBorders>
          </w:tcPr>
          <w:p w14:paraId="00AE2569" w14:textId="77777777" w:rsidR="008B0237" w:rsidRPr="008B0237" w:rsidRDefault="008B0237" w:rsidP="008B0237">
            <w:pPr>
              <w:spacing w:after="0" w:line="240" w:lineRule="auto"/>
              <w:ind w:right="282"/>
              <w:rPr>
                <w:rFonts w:eastAsia="Times New Roman" w:cs="Arial"/>
                <w:color w:val="auto"/>
                <w:sz w:val="16"/>
                <w:szCs w:val="16"/>
                <w:lang w:eastAsia="de-DE"/>
              </w:rPr>
            </w:pPr>
            <w:r w:rsidRPr="008B0237">
              <w:rPr>
                <w:rFonts w:eastAsia="Times New Roman" w:cs="Arial"/>
                <w:color w:val="auto"/>
                <w:sz w:val="16"/>
                <w:szCs w:val="16"/>
                <w:lang w:eastAsia="de-DE"/>
              </w:rPr>
              <w:t xml:space="preserve">Transfusion von Plasmabestandteilen u. gentechnisch hergest. Plasmaproteinen     </w:t>
            </w:r>
          </w:p>
        </w:tc>
        <w:tc>
          <w:tcPr>
            <w:tcW w:w="1986" w:type="dxa"/>
            <w:tcBorders>
              <w:top w:val="single" w:sz="4" w:space="0" w:color="auto"/>
              <w:left w:val="nil"/>
              <w:bottom w:val="single" w:sz="4" w:space="0" w:color="auto"/>
              <w:right w:val="single" w:sz="4" w:space="0" w:color="auto"/>
            </w:tcBorders>
          </w:tcPr>
          <w:p w14:paraId="33DDEF02"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 xml:space="preserve">                Kostenerstattung</w:t>
            </w:r>
          </w:p>
        </w:tc>
      </w:tr>
    </w:tbl>
    <w:p w14:paraId="444FC339" w14:textId="2D986185"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Können für die Leistungen nach Anlage 4 bzw. 6 FPV 202</w:t>
      </w:r>
      <w:r w:rsidR="0081213F">
        <w:rPr>
          <w:rFonts w:eastAsia="Times New Roman" w:cs="Arial"/>
          <w:color w:val="auto"/>
          <w:sz w:val="16"/>
          <w:szCs w:val="16"/>
          <w:lang w:eastAsia="de-DE"/>
        </w:rPr>
        <w:t>5</w:t>
      </w:r>
      <w:r w:rsidRPr="008B0237">
        <w:rPr>
          <w:rFonts w:eastAsia="Times New Roman" w:cs="Arial"/>
          <w:color w:val="auto"/>
          <w:sz w:val="16"/>
          <w:szCs w:val="16"/>
          <w:lang w:eastAsia="de-DE"/>
        </w:rPr>
        <w:t xml:space="preserve"> auf Grund einer fehlenden Vereinbarung noch keine krankenhausindividuellen Zusatzentgelte abgerechnet werden bzw. wurden in der Budgetvereinbarung für das Jahr 202</w:t>
      </w:r>
      <w:r w:rsidR="0081213F">
        <w:rPr>
          <w:rFonts w:eastAsia="Times New Roman" w:cs="Arial"/>
          <w:color w:val="auto"/>
          <w:sz w:val="16"/>
          <w:szCs w:val="16"/>
          <w:lang w:eastAsia="de-DE"/>
        </w:rPr>
        <w:t>5</w:t>
      </w:r>
      <w:r w:rsidRPr="008B0237">
        <w:rPr>
          <w:rFonts w:eastAsia="Times New Roman" w:cs="Arial"/>
          <w:color w:val="auto"/>
          <w:sz w:val="16"/>
          <w:szCs w:val="16"/>
          <w:lang w:eastAsia="de-DE"/>
        </w:rPr>
        <w:t xml:space="preserve"> für diese Leistungen keine krankenhausindividuellen Zusatzentgelte vereinbart, sind jeweils 600,00 Euro abzurechnen.</w:t>
      </w:r>
    </w:p>
    <w:p w14:paraId="430139D3"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21141E82" w14:textId="36242A9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b/>
          <w:bCs/>
          <w:color w:val="auto"/>
          <w:sz w:val="16"/>
          <w:szCs w:val="16"/>
          <w:lang w:eastAsia="de-DE"/>
        </w:rPr>
        <w:t>4. Sonstige Entgelte für Leistungen gem. § 7 FPV 202</w:t>
      </w:r>
      <w:r w:rsidR="0081213F">
        <w:rPr>
          <w:rFonts w:eastAsia="Times New Roman" w:cs="Arial"/>
          <w:b/>
          <w:bCs/>
          <w:color w:val="auto"/>
          <w:sz w:val="16"/>
          <w:szCs w:val="16"/>
          <w:lang w:eastAsia="de-DE"/>
        </w:rPr>
        <w:t>5</w:t>
      </w:r>
    </w:p>
    <w:p w14:paraId="1BE32650" w14:textId="77777777" w:rsidR="008B0237" w:rsidRPr="008B0237" w:rsidRDefault="008B0237" w:rsidP="008B0237">
      <w:pPr>
        <w:spacing w:after="0" w:line="240" w:lineRule="auto"/>
        <w:ind w:left="-567" w:right="-568"/>
        <w:jc w:val="both"/>
        <w:rPr>
          <w:rFonts w:eastAsia="Times New Roman" w:cs="Arial"/>
          <w:color w:val="auto"/>
          <w:sz w:val="16"/>
          <w:lang w:eastAsia="de-DE"/>
        </w:rPr>
      </w:pPr>
      <w:r w:rsidRPr="008B0237">
        <w:rPr>
          <w:rFonts w:eastAsia="Times New Roman" w:cs="Arial"/>
          <w:color w:val="auto"/>
          <w:sz w:val="16"/>
          <w:lang w:eastAsia="de-DE"/>
        </w:rPr>
        <w:t xml:space="preserve">Für die Vergütung von Leistungen, die noch nicht von den DRG-Fallpauschalen und Zusatzentgelten sachgerecht vergütet werden, hat das Krankenhaus gem. § 6 Abs. 1 KHEntG mit den zuständigen Kostenträgern folgendes </w:t>
      </w:r>
      <w:r w:rsidRPr="008B0237">
        <w:rPr>
          <w:rFonts w:eastAsia="Times New Roman" w:cs="Arial"/>
          <w:color w:val="auto"/>
          <w:sz w:val="16"/>
          <w:u w:val="single"/>
          <w:lang w:eastAsia="de-DE"/>
        </w:rPr>
        <w:t>tagesbezogene</w:t>
      </w:r>
      <w:r w:rsidRPr="008B0237">
        <w:rPr>
          <w:rFonts w:eastAsia="Times New Roman" w:cs="Arial"/>
          <w:color w:val="auto"/>
          <w:sz w:val="16"/>
          <w:lang w:eastAsia="de-DE"/>
        </w:rPr>
        <w:t xml:space="preserve"> krankenhausindividuelle Entgelt vereinbart:</w:t>
      </w:r>
    </w:p>
    <w:tbl>
      <w:tblPr>
        <w:tblW w:w="1077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851"/>
        <w:gridCol w:w="5668"/>
        <w:gridCol w:w="2975"/>
      </w:tblGrid>
      <w:tr w:rsidR="008B0237" w:rsidRPr="008B0237" w14:paraId="2E01BAA9" w14:textId="77777777" w:rsidTr="004A3D31">
        <w:tc>
          <w:tcPr>
            <w:tcW w:w="1276" w:type="dxa"/>
            <w:tcBorders>
              <w:top w:val="single" w:sz="4" w:space="0" w:color="auto"/>
              <w:left w:val="single" w:sz="4" w:space="0" w:color="auto"/>
              <w:bottom w:val="single" w:sz="4" w:space="0" w:color="auto"/>
              <w:right w:val="single" w:sz="4" w:space="0" w:color="auto"/>
            </w:tcBorders>
            <w:vAlign w:val="center"/>
            <w:hideMark/>
          </w:tcPr>
          <w:p w14:paraId="744190AB" w14:textId="77777777" w:rsidR="008B0237" w:rsidRPr="008B0237" w:rsidRDefault="008B0237" w:rsidP="008B0237">
            <w:pPr>
              <w:spacing w:after="0" w:line="240" w:lineRule="auto"/>
              <w:jc w:val="center"/>
              <w:rPr>
                <w:rFonts w:eastAsia="Times New Roman" w:cs="Arial"/>
                <w:bCs/>
                <w:color w:val="auto"/>
                <w:sz w:val="16"/>
                <w:szCs w:val="16"/>
                <w:lang w:eastAsia="de-DE"/>
              </w:rPr>
            </w:pPr>
            <w:r w:rsidRPr="008B0237">
              <w:rPr>
                <w:rFonts w:eastAsia="Times New Roman" w:cs="Arial"/>
                <w:bCs/>
                <w:color w:val="auto"/>
                <w:sz w:val="16"/>
                <w:szCs w:val="16"/>
                <w:lang w:eastAsia="de-DE"/>
              </w:rPr>
              <w:t>DRG</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57E683" w14:textId="77777777" w:rsidR="008B0237" w:rsidRPr="008B0237" w:rsidRDefault="008B0237" w:rsidP="008B0237">
            <w:pPr>
              <w:spacing w:after="0" w:line="240" w:lineRule="auto"/>
              <w:jc w:val="center"/>
              <w:rPr>
                <w:rFonts w:eastAsia="Times New Roman" w:cs="Arial"/>
                <w:bCs/>
                <w:color w:val="auto"/>
                <w:sz w:val="16"/>
                <w:szCs w:val="16"/>
                <w:lang w:eastAsia="de-DE"/>
              </w:rPr>
            </w:pPr>
            <w:r w:rsidRPr="008B0237">
              <w:rPr>
                <w:rFonts w:eastAsia="Times New Roman" w:cs="Arial"/>
                <w:bCs/>
                <w:color w:val="auto"/>
                <w:sz w:val="16"/>
                <w:szCs w:val="16"/>
                <w:lang w:eastAsia="de-DE"/>
              </w:rPr>
              <w:t>Partition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32E2C4" w14:textId="77777777" w:rsidR="008B0237" w:rsidRPr="008B0237" w:rsidRDefault="008B0237" w:rsidP="008B0237">
            <w:pPr>
              <w:spacing w:after="0" w:line="240" w:lineRule="auto"/>
              <w:jc w:val="center"/>
              <w:rPr>
                <w:rFonts w:eastAsia="Times New Roman" w:cs="Arial"/>
                <w:bCs/>
                <w:color w:val="auto"/>
                <w:sz w:val="16"/>
                <w:szCs w:val="16"/>
                <w:lang w:eastAsia="de-DE"/>
              </w:rPr>
            </w:pPr>
            <w:r w:rsidRPr="008B0237">
              <w:rPr>
                <w:rFonts w:eastAsia="Times New Roman" w:cs="Arial"/>
                <w:bCs/>
                <w:color w:val="auto"/>
                <w:sz w:val="16"/>
                <w:szCs w:val="16"/>
                <w:lang w:eastAsia="de-DE"/>
              </w:rPr>
              <w:t>Bezeichnung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32555E" w14:textId="307B7394" w:rsidR="008B0237" w:rsidRPr="008B0237" w:rsidRDefault="008B0237" w:rsidP="008B0237">
            <w:pPr>
              <w:spacing w:after="0" w:line="240" w:lineRule="auto"/>
              <w:jc w:val="center"/>
              <w:rPr>
                <w:rFonts w:eastAsia="Times New Roman" w:cs="Arial"/>
                <w:bCs/>
                <w:color w:val="auto"/>
                <w:sz w:val="16"/>
                <w:szCs w:val="16"/>
                <w:lang w:eastAsia="de-DE"/>
              </w:rPr>
            </w:pPr>
            <w:r w:rsidRPr="008B0237">
              <w:rPr>
                <w:rFonts w:eastAsia="Times New Roman" w:cs="Arial"/>
                <w:bCs/>
                <w:color w:val="auto"/>
                <w:sz w:val="16"/>
                <w:szCs w:val="16"/>
                <w:lang w:eastAsia="de-DE"/>
              </w:rPr>
              <w:t xml:space="preserve">Tagesbezogene Entgelte ab </w:t>
            </w:r>
            <w:r w:rsidR="00B222D1">
              <w:rPr>
                <w:rFonts w:eastAsia="Times New Roman" w:cs="Arial"/>
                <w:b/>
                <w:bCs/>
                <w:color w:val="auto"/>
                <w:sz w:val="16"/>
                <w:szCs w:val="16"/>
                <w:lang w:eastAsia="de-DE"/>
              </w:rPr>
              <w:t>01.10</w:t>
            </w:r>
            <w:r w:rsidRPr="008B0237">
              <w:rPr>
                <w:rFonts w:eastAsia="Times New Roman" w:cs="Arial"/>
                <w:b/>
                <w:bCs/>
                <w:color w:val="auto"/>
                <w:sz w:val="16"/>
                <w:szCs w:val="16"/>
                <w:lang w:eastAsia="de-DE"/>
              </w:rPr>
              <w:t>.202</w:t>
            </w:r>
            <w:r w:rsidR="008B7CCF">
              <w:rPr>
                <w:rFonts w:eastAsia="Times New Roman" w:cs="Arial"/>
                <w:b/>
                <w:bCs/>
                <w:color w:val="auto"/>
                <w:sz w:val="16"/>
                <w:szCs w:val="16"/>
                <w:lang w:eastAsia="de-DE"/>
              </w:rPr>
              <w:t>5</w:t>
            </w:r>
          </w:p>
        </w:tc>
      </w:tr>
      <w:tr w:rsidR="008B0237" w:rsidRPr="008B0237" w14:paraId="4C70592F" w14:textId="77777777" w:rsidTr="004A3D31">
        <w:trPr>
          <w:trHeight w:val="130"/>
        </w:trPr>
        <w:tc>
          <w:tcPr>
            <w:tcW w:w="1276" w:type="dxa"/>
            <w:tcBorders>
              <w:top w:val="single" w:sz="4" w:space="0" w:color="auto"/>
              <w:left w:val="single" w:sz="4" w:space="0" w:color="auto"/>
              <w:bottom w:val="single" w:sz="4" w:space="0" w:color="auto"/>
              <w:right w:val="single" w:sz="4" w:space="0" w:color="auto"/>
            </w:tcBorders>
            <w:vAlign w:val="center"/>
            <w:hideMark/>
          </w:tcPr>
          <w:p w14:paraId="1362B220"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E76A</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8291A"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M</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2D9C1D" w14:textId="77777777" w:rsidR="008B0237" w:rsidRPr="008B0237" w:rsidRDefault="008B0237" w:rsidP="008B0237">
            <w:pPr>
              <w:keepNext/>
              <w:spacing w:after="0" w:line="240" w:lineRule="auto"/>
              <w:jc w:val="center"/>
              <w:outlineLvl w:val="6"/>
              <w:rPr>
                <w:rFonts w:eastAsia="Times New Roman" w:cs="Arial"/>
                <w:bCs/>
                <w:color w:val="auto"/>
                <w:sz w:val="16"/>
                <w:szCs w:val="16"/>
                <w:lang w:eastAsia="de-DE"/>
              </w:rPr>
            </w:pPr>
            <w:r w:rsidRPr="008B0237">
              <w:rPr>
                <w:rFonts w:eastAsia="Times New Roman" w:cs="Arial"/>
                <w:bCs/>
                <w:color w:val="auto"/>
                <w:sz w:val="16"/>
                <w:szCs w:val="16"/>
                <w:lang w:eastAsia="de-DE"/>
              </w:rPr>
              <w:t>Tuberkulose, mehr als 14 Belegungstage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9CB044B" w14:textId="1D52D0F4" w:rsidR="008B0237" w:rsidRPr="008B0237" w:rsidRDefault="00B222D1"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342,99</w:t>
            </w:r>
            <w:r w:rsidR="008B0237" w:rsidRPr="008B0237">
              <w:rPr>
                <w:rFonts w:eastAsia="Times New Roman" w:cs="Arial"/>
                <w:color w:val="auto"/>
                <w:sz w:val="16"/>
                <w:szCs w:val="16"/>
                <w:lang w:eastAsia="de-DE"/>
              </w:rPr>
              <w:t xml:space="preserve">  €</w:t>
            </w:r>
          </w:p>
        </w:tc>
      </w:tr>
      <w:tr w:rsidR="008B0237" w:rsidRPr="008B0237" w14:paraId="0C9AD0B0" w14:textId="77777777" w:rsidTr="004A3D31">
        <w:trPr>
          <w:trHeight w:val="130"/>
        </w:trPr>
        <w:tc>
          <w:tcPr>
            <w:tcW w:w="1276" w:type="dxa"/>
            <w:tcBorders>
              <w:top w:val="single" w:sz="4" w:space="0" w:color="auto"/>
              <w:left w:val="single" w:sz="4" w:space="0" w:color="auto"/>
              <w:bottom w:val="single" w:sz="4" w:space="0" w:color="auto"/>
              <w:right w:val="single" w:sz="4" w:space="0" w:color="auto"/>
            </w:tcBorders>
            <w:vAlign w:val="center"/>
          </w:tcPr>
          <w:p w14:paraId="0D1A32CC"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E76A</w:t>
            </w:r>
          </w:p>
        </w:tc>
        <w:tc>
          <w:tcPr>
            <w:tcW w:w="851" w:type="dxa"/>
            <w:tcBorders>
              <w:top w:val="single" w:sz="4" w:space="0" w:color="auto"/>
              <w:left w:val="single" w:sz="4" w:space="0" w:color="auto"/>
              <w:bottom w:val="single" w:sz="4" w:space="0" w:color="auto"/>
              <w:right w:val="single" w:sz="4" w:space="0" w:color="auto"/>
            </w:tcBorders>
            <w:vAlign w:val="center"/>
          </w:tcPr>
          <w:p w14:paraId="411B83F7"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M</w:t>
            </w:r>
          </w:p>
        </w:tc>
        <w:tc>
          <w:tcPr>
            <w:tcW w:w="5670" w:type="dxa"/>
            <w:tcBorders>
              <w:top w:val="single" w:sz="4" w:space="0" w:color="auto"/>
              <w:left w:val="single" w:sz="4" w:space="0" w:color="auto"/>
              <w:bottom w:val="single" w:sz="4" w:space="0" w:color="auto"/>
              <w:right w:val="single" w:sz="4" w:space="0" w:color="auto"/>
            </w:tcBorders>
            <w:vAlign w:val="center"/>
          </w:tcPr>
          <w:p w14:paraId="57A27BFC" w14:textId="476CB70C" w:rsidR="008B0237" w:rsidRPr="008B0237" w:rsidRDefault="008B0237" w:rsidP="00B222D1">
            <w:pPr>
              <w:keepNext/>
              <w:spacing w:after="0" w:line="240" w:lineRule="auto"/>
              <w:jc w:val="center"/>
              <w:outlineLvl w:val="6"/>
              <w:rPr>
                <w:rFonts w:eastAsia="Times New Roman" w:cs="Arial"/>
                <w:bCs/>
                <w:color w:val="auto"/>
                <w:sz w:val="16"/>
                <w:szCs w:val="16"/>
                <w:lang w:eastAsia="de-DE"/>
              </w:rPr>
            </w:pPr>
            <w:r w:rsidRPr="008B0237">
              <w:rPr>
                <w:rFonts w:eastAsia="Times New Roman" w:cs="Arial"/>
                <w:bCs/>
                <w:color w:val="auto"/>
                <w:sz w:val="16"/>
                <w:szCs w:val="16"/>
                <w:lang w:eastAsia="de-DE"/>
              </w:rPr>
              <w:t>Pflegeerlös: Be</w:t>
            </w:r>
            <w:r w:rsidR="0081213F">
              <w:rPr>
                <w:rFonts w:eastAsia="Times New Roman" w:cs="Arial"/>
                <w:bCs/>
                <w:color w:val="auto"/>
                <w:sz w:val="16"/>
                <w:szCs w:val="16"/>
                <w:lang w:eastAsia="de-DE"/>
              </w:rPr>
              <w:t>wertungsrelation (BWR) /Tag 2025</w:t>
            </w:r>
            <w:r w:rsidRPr="008B0237">
              <w:rPr>
                <w:rFonts w:eastAsia="Times New Roman" w:cs="Arial"/>
                <w:bCs/>
                <w:color w:val="auto"/>
                <w:sz w:val="16"/>
                <w:szCs w:val="16"/>
                <w:lang w:eastAsia="de-DE"/>
              </w:rPr>
              <w:t xml:space="preserve"> = 0.</w:t>
            </w:r>
            <w:r w:rsidR="008B7CCF">
              <w:rPr>
                <w:rFonts w:eastAsia="Times New Roman" w:cs="Arial"/>
                <w:bCs/>
                <w:color w:val="auto"/>
                <w:sz w:val="16"/>
                <w:szCs w:val="16"/>
                <w:lang w:eastAsia="de-DE"/>
              </w:rPr>
              <w:t xml:space="preserve">8354 </w:t>
            </w:r>
            <w:r w:rsidRPr="008B0237">
              <w:rPr>
                <w:rFonts w:eastAsia="Times New Roman" w:cs="Arial"/>
                <w:bCs/>
                <w:color w:val="auto"/>
                <w:sz w:val="16"/>
                <w:szCs w:val="16"/>
                <w:lang w:eastAsia="de-DE"/>
              </w:rPr>
              <w:t>(0,</w:t>
            </w:r>
            <w:r w:rsidR="008B7CCF">
              <w:rPr>
                <w:rFonts w:eastAsia="Times New Roman" w:cs="Arial"/>
                <w:bCs/>
                <w:color w:val="auto"/>
                <w:sz w:val="16"/>
                <w:szCs w:val="16"/>
                <w:lang w:eastAsia="de-DE"/>
              </w:rPr>
              <w:t>8354</w:t>
            </w:r>
            <w:r w:rsidRPr="008B0237">
              <w:rPr>
                <w:rFonts w:eastAsia="Times New Roman" w:cs="Arial"/>
                <w:bCs/>
                <w:color w:val="auto"/>
                <w:sz w:val="16"/>
                <w:szCs w:val="16"/>
                <w:lang w:eastAsia="de-DE"/>
              </w:rPr>
              <w:t>*</w:t>
            </w:r>
            <w:r w:rsidR="00B222D1">
              <w:rPr>
                <w:rFonts w:eastAsia="Times New Roman" w:cs="Arial"/>
                <w:bCs/>
                <w:color w:val="auto"/>
                <w:sz w:val="16"/>
                <w:szCs w:val="16"/>
                <w:lang w:eastAsia="de-DE"/>
              </w:rPr>
              <w:t>627,25</w:t>
            </w:r>
            <w:r w:rsidRPr="008B0237">
              <w:rPr>
                <w:rFonts w:eastAsia="Times New Roman" w:cs="Arial"/>
                <w:bCs/>
                <w:color w:val="auto"/>
                <w:sz w:val="16"/>
                <w:szCs w:val="16"/>
                <w:lang w:eastAsia="de-DE"/>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0F7B69E9" w14:textId="5FBE9FC4" w:rsidR="008B0237" w:rsidRPr="008B0237" w:rsidRDefault="00B222D1"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524,00</w:t>
            </w:r>
            <w:r w:rsidR="008B0237" w:rsidRPr="008B0237">
              <w:rPr>
                <w:rFonts w:eastAsia="Times New Roman" w:cs="Arial"/>
                <w:color w:val="auto"/>
                <w:sz w:val="16"/>
                <w:szCs w:val="16"/>
                <w:lang w:eastAsia="de-DE"/>
              </w:rPr>
              <w:t xml:space="preserve">  €</w:t>
            </w:r>
          </w:p>
        </w:tc>
      </w:tr>
    </w:tbl>
    <w:p w14:paraId="2A449687" w14:textId="77777777" w:rsidR="008B0237" w:rsidRPr="008B0237" w:rsidRDefault="008B0237" w:rsidP="008B0237">
      <w:pPr>
        <w:spacing w:after="0" w:line="240" w:lineRule="auto"/>
        <w:ind w:left="-567" w:right="-568"/>
        <w:jc w:val="both"/>
        <w:rPr>
          <w:rFonts w:eastAsia="Times New Roman" w:cs="Arial"/>
          <w:color w:val="auto"/>
          <w:sz w:val="2"/>
          <w:szCs w:val="2"/>
          <w:lang w:eastAsia="de-DE"/>
        </w:rPr>
      </w:pPr>
    </w:p>
    <w:p w14:paraId="244F816D" w14:textId="69800F7E" w:rsidR="008B0237" w:rsidRPr="008B0237" w:rsidRDefault="008B0237" w:rsidP="008B0237">
      <w:pPr>
        <w:spacing w:after="0" w:line="240" w:lineRule="auto"/>
        <w:ind w:left="-567" w:right="-568"/>
        <w:jc w:val="both"/>
        <w:rPr>
          <w:rFonts w:eastAsia="Times New Roman" w:cs="Arial"/>
          <w:b/>
          <w:noProof/>
          <w:color w:val="auto"/>
          <w:sz w:val="16"/>
          <w:szCs w:val="16"/>
          <w:lang w:eastAsia="de-DE"/>
        </w:rPr>
      </w:pPr>
      <w:r w:rsidRPr="008B0237">
        <w:rPr>
          <w:rFonts w:eastAsia="Times New Roman" w:cs="Arial"/>
          <w:color w:val="auto"/>
          <w:sz w:val="16"/>
          <w:szCs w:val="16"/>
          <w:lang w:eastAsia="de-DE"/>
        </w:rPr>
        <w:t>Pflegeerlös – siehe Absatz 8.</w:t>
      </w:r>
      <w:r w:rsidR="00CD6F1A">
        <w:rPr>
          <w:rFonts w:eastAsia="Times New Roman" w:cs="Arial"/>
          <w:noProof/>
          <w:color w:val="auto"/>
          <w:sz w:val="16"/>
          <w:szCs w:val="16"/>
          <w:lang w:eastAsia="de-DE"/>
        </w:rPr>
        <w:t xml:space="preserve"> </w:t>
      </w:r>
      <w:r w:rsidRPr="008B0237">
        <w:rPr>
          <w:rFonts w:eastAsia="Times New Roman" w:cs="Arial"/>
          <w:noProof/>
          <w:color w:val="auto"/>
          <w:sz w:val="16"/>
          <w:szCs w:val="16"/>
          <w:lang w:eastAsia="de-DE"/>
        </w:rPr>
        <w:t>Tagesbezogene Pflegeentgelte zur Abzahlung des Pflegebudgets nach § 7 Abs. 1 Ziff. 6a  KHEntgG</w:t>
      </w:r>
      <w:r w:rsidRPr="008B0237">
        <w:rPr>
          <w:rFonts w:eastAsia="Times New Roman" w:cs="Arial"/>
          <w:b/>
          <w:noProof/>
          <w:color w:val="auto"/>
          <w:sz w:val="16"/>
          <w:szCs w:val="16"/>
          <w:lang w:eastAsia="de-DE"/>
        </w:rPr>
        <w:t>.</w:t>
      </w:r>
    </w:p>
    <w:p w14:paraId="1924F7E9" w14:textId="77777777" w:rsidR="008B0237" w:rsidRPr="00107FCA" w:rsidRDefault="008B0237" w:rsidP="008B0237">
      <w:pPr>
        <w:spacing w:after="0" w:line="240" w:lineRule="auto"/>
        <w:ind w:left="-567" w:right="-568"/>
        <w:jc w:val="both"/>
        <w:rPr>
          <w:rFonts w:eastAsia="Times New Roman" w:cs="Arial"/>
          <w:color w:val="auto"/>
          <w:sz w:val="8"/>
          <w:szCs w:val="8"/>
          <w:lang w:eastAsia="de-DE"/>
        </w:rPr>
      </w:pPr>
    </w:p>
    <w:p w14:paraId="3A4759CC"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Das Krankenhaus hat gem. §6 Abs. 1 KHEntG mit den zuständigen Kostenträgern folgendes </w:t>
      </w:r>
      <w:r w:rsidRPr="008B0237">
        <w:rPr>
          <w:rFonts w:eastAsia="Times New Roman" w:cs="Arial"/>
          <w:color w:val="auto"/>
          <w:sz w:val="16"/>
          <w:szCs w:val="16"/>
          <w:u w:val="single"/>
          <w:lang w:eastAsia="de-DE"/>
        </w:rPr>
        <w:t>fallbezogenes</w:t>
      </w:r>
      <w:r w:rsidRPr="008B0237">
        <w:rPr>
          <w:rFonts w:eastAsia="Times New Roman" w:cs="Arial"/>
          <w:color w:val="auto"/>
          <w:sz w:val="16"/>
          <w:szCs w:val="16"/>
          <w:lang w:eastAsia="de-DE"/>
        </w:rPr>
        <w:t xml:space="preserve"> krankenhausindividuelles Entgelt vereinbart:</w:t>
      </w:r>
    </w:p>
    <w:p w14:paraId="5E4CAAC5" w14:textId="77777777" w:rsidR="008B0237" w:rsidRPr="008B0237" w:rsidRDefault="008B0237" w:rsidP="008B0237">
      <w:pPr>
        <w:spacing w:after="0" w:line="240" w:lineRule="auto"/>
        <w:ind w:left="-567" w:right="-568"/>
        <w:jc w:val="both"/>
        <w:rPr>
          <w:rFonts w:eastAsia="Times New Roman" w:cs="Arial"/>
          <w:i/>
          <w:color w:val="auto"/>
          <w:sz w:val="16"/>
          <w:szCs w:val="16"/>
          <w:lang w:eastAsia="de-DE"/>
        </w:rPr>
      </w:pPr>
      <w:r w:rsidRPr="008B0237">
        <w:rPr>
          <w:rFonts w:eastAsia="Times New Roman" w:cs="Arial"/>
          <w:i/>
          <w:color w:val="auto"/>
          <w:sz w:val="16"/>
          <w:szCs w:val="16"/>
          <w:lang w:eastAsia="de-DE"/>
        </w:rPr>
        <w:t>Derzeit keine.</w:t>
      </w:r>
    </w:p>
    <w:p w14:paraId="3E40223B" w14:textId="4FCB6B1D" w:rsidR="008B0237" w:rsidRPr="008B0237" w:rsidRDefault="008B0237" w:rsidP="008B0237">
      <w:pPr>
        <w:spacing w:after="0" w:line="240" w:lineRule="auto"/>
        <w:ind w:left="-567" w:right="-568"/>
        <w:jc w:val="both"/>
        <w:rPr>
          <w:rFonts w:eastAsia="Times New Roman" w:cs="Arial"/>
          <w:bCs/>
          <w:color w:val="auto"/>
          <w:sz w:val="16"/>
          <w:szCs w:val="16"/>
          <w:lang w:eastAsia="de-DE"/>
        </w:rPr>
      </w:pPr>
      <w:r w:rsidRPr="008B0237">
        <w:rPr>
          <w:rFonts w:eastAsia="Times New Roman" w:cs="Arial"/>
          <w:color w:val="auto"/>
          <w:sz w:val="16"/>
          <w:szCs w:val="16"/>
          <w:lang w:eastAsia="de-DE"/>
        </w:rPr>
        <w:t>K</w:t>
      </w:r>
      <w:r w:rsidRPr="008B0237">
        <w:rPr>
          <w:rFonts w:eastAsia="Times New Roman" w:cs="Arial"/>
          <w:bCs/>
          <w:color w:val="auto"/>
          <w:sz w:val="16"/>
          <w:szCs w:val="16"/>
          <w:lang w:eastAsia="de-DE"/>
        </w:rPr>
        <w:t>önnen für die Le</w:t>
      </w:r>
      <w:r w:rsidR="0081213F">
        <w:rPr>
          <w:rFonts w:eastAsia="Times New Roman" w:cs="Arial"/>
          <w:bCs/>
          <w:color w:val="auto"/>
          <w:sz w:val="16"/>
          <w:szCs w:val="16"/>
          <w:lang w:eastAsia="de-DE"/>
        </w:rPr>
        <w:t>istungen nach Anlage 3a FPV 2025</w:t>
      </w:r>
      <w:r w:rsidRPr="008B0237">
        <w:rPr>
          <w:rFonts w:eastAsia="Times New Roman" w:cs="Arial"/>
          <w:bCs/>
          <w:color w:val="auto"/>
          <w:sz w:val="16"/>
          <w:szCs w:val="16"/>
          <w:lang w:eastAsia="de-DE"/>
        </w:rPr>
        <w:t xml:space="preserve"> auf Grund fehlender Vereinbarung noch keine krankenhausindividuellen Entgelte abgerechnet werden, sind für jeden Belegungstag 600,00 Euro abzurechnen. Für Le</w:t>
      </w:r>
      <w:r w:rsidR="0081213F">
        <w:rPr>
          <w:rFonts w:eastAsia="Times New Roman" w:cs="Arial"/>
          <w:bCs/>
          <w:color w:val="auto"/>
          <w:sz w:val="16"/>
          <w:szCs w:val="16"/>
          <w:lang w:eastAsia="de-DE"/>
        </w:rPr>
        <w:t>istungen nach Anlage 3b FPV 2025</w:t>
      </w:r>
      <w:r w:rsidRPr="008B0237">
        <w:rPr>
          <w:rFonts w:eastAsia="Times New Roman" w:cs="Arial"/>
          <w:bCs/>
          <w:color w:val="auto"/>
          <w:sz w:val="16"/>
          <w:szCs w:val="16"/>
          <w:lang w:eastAsia="de-DE"/>
        </w:rPr>
        <w:t xml:space="preserve"> sind 300,00 € für jeden Belegungstag abzurechnen. Wurden in der Budg</w:t>
      </w:r>
      <w:r w:rsidR="0081213F">
        <w:rPr>
          <w:rFonts w:eastAsia="Times New Roman" w:cs="Arial"/>
          <w:bCs/>
          <w:color w:val="auto"/>
          <w:sz w:val="16"/>
          <w:szCs w:val="16"/>
          <w:lang w:eastAsia="de-DE"/>
        </w:rPr>
        <w:t>etvereinbarung für das Jahr 2025</w:t>
      </w:r>
      <w:r w:rsidRPr="008B0237">
        <w:rPr>
          <w:rFonts w:eastAsia="Times New Roman" w:cs="Arial"/>
          <w:bCs/>
          <w:color w:val="auto"/>
          <w:sz w:val="16"/>
          <w:szCs w:val="16"/>
          <w:lang w:eastAsia="de-DE"/>
        </w:rPr>
        <w:t xml:space="preserve"> für Le</w:t>
      </w:r>
      <w:r w:rsidR="0081213F">
        <w:rPr>
          <w:rFonts w:eastAsia="Times New Roman" w:cs="Arial"/>
          <w:bCs/>
          <w:color w:val="auto"/>
          <w:sz w:val="16"/>
          <w:szCs w:val="16"/>
          <w:lang w:eastAsia="de-DE"/>
        </w:rPr>
        <w:t>istungen nach Anlage 3a FPV 2025</w:t>
      </w:r>
      <w:r w:rsidRPr="008B0237">
        <w:rPr>
          <w:rFonts w:eastAsia="Times New Roman" w:cs="Arial"/>
          <w:bCs/>
          <w:color w:val="auto"/>
          <w:sz w:val="16"/>
          <w:szCs w:val="16"/>
          <w:lang w:eastAsia="de-DE"/>
        </w:rPr>
        <w:t xml:space="preserve"> keine Entgelte vereinbart, sind auf Grundlage von § 8 Abs. 1 S. 3 KHEntgG für jeden Belegungstag 450,00 Euro abzurechnen.</w:t>
      </w:r>
    </w:p>
    <w:p w14:paraId="6BDEE8E8" w14:textId="5E3B6EE4" w:rsidR="00107FCA" w:rsidRPr="00107FCA" w:rsidRDefault="00107FCA" w:rsidP="008B0237">
      <w:pPr>
        <w:widowControl w:val="0"/>
        <w:spacing w:after="0" w:line="240" w:lineRule="auto"/>
        <w:ind w:left="-567" w:right="-425"/>
        <w:contextualSpacing/>
        <w:jc w:val="both"/>
        <w:rPr>
          <w:rFonts w:eastAsia="Times New Roman" w:cs="Arial"/>
          <w:b/>
          <w:bCs/>
          <w:color w:val="auto"/>
          <w:sz w:val="8"/>
          <w:szCs w:val="8"/>
          <w:lang w:eastAsia="de-DE"/>
        </w:rPr>
      </w:pPr>
    </w:p>
    <w:p w14:paraId="40771C54" w14:textId="77777777" w:rsidR="008B0237" w:rsidRPr="008B0237" w:rsidRDefault="008B0237" w:rsidP="008B0237">
      <w:pPr>
        <w:widowControl w:val="0"/>
        <w:spacing w:after="0" w:line="240" w:lineRule="auto"/>
        <w:ind w:left="-567" w:right="-425"/>
        <w:contextualSpacing/>
        <w:jc w:val="both"/>
        <w:rPr>
          <w:rFonts w:eastAsia="Times New Roman" w:cs="Arial"/>
          <w:b/>
          <w:bCs/>
          <w:color w:val="auto"/>
          <w:sz w:val="16"/>
          <w:szCs w:val="16"/>
          <w:lang w:eastAsia="de-DE"/>
        </w:rPr>
      </w:pPr>
      <w:r w:rsidRPr="008B0237">
        <w:rPr>
          <w:rFonts w:eastAsia="Times New Roman" w:cs="Arial"/>
          <w:b/>
          <w:bCs/>
          <w:color w:val="auto"/>
          <w:sz w:val="16"/>
          <w:szCs w:val="16"/>
          <w:lang w:eastAsia="de-DE"/>
        </w:rPr>
        <w:t>5. Entgelte für neue Untersuchungs- und Behandlungsmethoden gem. § 7 Ziff. 6 KHEntgG</w:t>
      </w:r>
    </w:p>
    <w:p w14:paraId="348694DD" w14:textId="6B3C0406" w:rsidR="008B0237" w:rsidRPr="008B0237" w:rsidRDefault="008B0237" w:rsidP="008B0237">
      <w:pPr>
        <w:widowControl w:val="0"/>
        <w:spacing w:after="0" w:line="240" w:lineRule="auto"/>
        <w:ind w:left="-567" w:right="-425"/>
        <w:contextualSpacing/>
        <w:jc w:val="both"/>
        <w:rPr>
          <w:rFonts w:eastAsia="Times New Roman" w:cs="Arial"/>
          <w:color w:val="auto"/>
          <w:sz w:val="16"/>
          <w:szCs w:val="16"/>
          <w:lang w:eastAsia="de-DE"/>
        </w:rPr>
      </w:pPr>
      <w:r w:rsidRPr="008B0237">
        <w:rPr>
          <w:rFonts w:eastAsia="Times New Roman" w:cs="Arial"/>
          <w:color w:val="auto"/>
          <w:sz w:val="16"/>
          <w:szCs w:val="16"/>
          <w:lang w:eastAsia="de-DE"/>
        </w:rPr>
        <w:t>Für die Vergütung von neuen Untersuchungs- und Behandlungsmethoden, die noch nicht mit den DRG-Fallpauschalen und bundeseinheitlich festgelegten Zusatzentgelten sachgerecht vergütet werden können und die nicht gem. § 137c SGB V von der Finanzierung ausgeschlossen sind, hat das Krankenhaus gem. § 6 Abs. 2 KHEntgG erstmals für das Kalenderjahr 2016 mit den zuständigen Kostenträgern folgende zeitlich befristete fallbezogene Entgelte vereinbart:  ab 01.</w:t>
      </w:r>
      <w:r w:rsidR="00C96648">
        <w:rPr>
          <w:rFonts w:eastAsia="Times New Roman" w:cs="Arial"/>
          <w:color w:val="auto"/>
          <w:sz w:val="16"/>
          <w:szCs w:val="16"/>
          <w:lang w:eastAsia="de-DE"/>
        </w:rPr>
        <w:t>10</w:t>
      </w:r>
      <w:r w:rsidR="00065E65">
        <w:rPr>
          <w:rFonts w:eastAsia="Times New Roman" w:cs="Arial"/>
          <w:color w:val="auto"/>
          <w:sz w:val="16"/>
          <w:szCs w:val="16"/>
          <w:lang w:eastAsia="de-DE"/>
        </w:rPr>
        <w:t>.2025</w:t>
      </w:r>
      <w:r w:rsidR="006E2FBD">
        <w:rPr>
          <w:rFonts w:eastAsia="Times New Roman" w:cs="Arial"/>
          <w:color w:val="auto"/>
          <w:sz w:val="16"/>
          <w:szCs w:val="16"/>
          <w:lang w:eastAsia="de-DE"/>
        </w:rPr>
        <w:t xml:space="preserve"> </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715"/>
        <w:gridCol w:w="3372"/>
      </w:tblGrid>
      <w:tr w:rsidR="00955BD8" w:rsidRPr="00A51AD0" w14:paraId="5A81A41F" w14:textId="77777777" w:rsidTr="001360B3">
        <w:trPr>
          <w:trHeight w:val="160"/>
        </w:trPr>
        <w:tc>
          <w:tcPr>
            <w:tcW w:w="3686" w:type="dxa"/>
            <w:shd w:val="clear" w:color="auto" w:fill="auto"/>
          </w:tcPr>
          <w:p w14:paraId="70FDBA88" w14:textId="4A60642A"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Abemaciclib, je Tablette                                      36,30 €</w:t>
            </w:r>
          </w:p>
        </w:tc>
        <w:tc>
          <w:tcPr>
            <w:tcW w:w="3715" w:type="dxa"/>
            <w:shd w:val="clear" w:color="auto" w:fill="auto"/>
          </w:tcPr>
          <w:p w14:paraId="50E9DC61" w14:textId="1E4EC81A"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Everolimus bei Neoplasi,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1,79 €</w:t>
            </w:r>
          </w:p>
        </w:tc>
        <w:tc>
          <w:tcPr>
            <w:tcW w:w="3372" w:type="dxa"/>
            <w:shd w:val="clear" w:color="auto" w:fill="auto"/>
          </w:tcPr>
          <w:p w14:paraId="36B86183" w14:textId="4F5D224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Risankizumab, je mg bei </w:t>
            </w:r>
            <w:r>
              <w:rPr>
                <w:rFonts w:eastAsia="Times New Roman" w:cs="Arial"/>
                <w:color w:val="auto"/>
                <w:sz w:val="14"/>
                <w:szCs w:val="14"/>
                <w:lang w:eastAsia="de-DE"/>
              </w:rPr>
              <w:t>Fertigspritze</w:t>
            </w:r>
            <w:r>
              <w:rPr>
                <w:rFonts w:eastAsia="Times New Roman" w:cs="Arial"/>
                <w:color w:val="auto"/>
                <w:sz w:val="14"/>
                <w:szCs w:val="14"/>
                <w:lang w:eastAsia="de-DE"/>
              </w:rPr>
              <w:t xml:space="preserve"> 150 mg 4</w:t>
            </w:r>
            <w:r>
              <w:rPr>
                <w:rFonts w:eastAsia="Times New Roman" w:cs="Arial"/>
                <w:color w:val="auto"/>
                <w:sz w:val="14"/>
                <w:szCs w:val="14"/>
                <w:lang w:eastAsia="de-DE"/>
              </w:rPr>
              <w:t>.</w:t>
            </w:r>
            <w:r>
              <w:rPr>
                <w:rFonts w:eastAsia="Times New Roman" w:cs="Arial"/>
                <w:color w:val="auto"/>
                <w:sz w:val="14"/>
                <w:szCs w:val="14"/>
                <w:lang w:eastAsia="de-DE"/>
              </w:rPr>
              <w:t>176,42</w:t>
            </w:r>
            <w:r w:rsidRPr="00F972EF">
              <w:rPr>
                <w:rFonts w:eastAsia="Times New Roman" w:cs="Arial"/>
                <w:color w:val="auto"/>
                <w:sz w:val="14"/>
                <w:szCs w:val="14"/>
                <w:lang w:eastAsia="de-DE"/>
              </w:rPr>
              <w:t xml:space="preserve"> €</w:t>
            </w:r>
          </w:p>
        </w:tc>
      </w:tr>
      <w:tr w:rsidR="00955BD8" w:rsidRPr="00A51AD0" w14:paraId="45EC2581" w14:textId="77777777" w:rsidTr="001360B3">
        <w:trPr>
          <w:trHeight w:val="159"/>
        </w:trPr>
        <w:tc>
          <w:tcPr>
            <w:tcW w:w="3686" w:type="dxa"/>
            <w:shd w:val="clear" w:color="auto" w:fill="auto"/>
          </w:tcPr>
          <w:p w14:paraId="3A8228AE" w14:textId="26761109"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Anifrolumab, je 300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989,31 €</w:t>
            </w:r>
          </w:p>
        </w:tc>
        <w:tc>
          <w:tcPr>
            <w:tcW w:w="3715" w:type="dxa"/>
            <w:shd w:val="clear" w:color="auto" w:fill="auto"/>
          </w:tcPr>
          <w:p w14:paraId="2E5F78DF" w14:textId="4F5F547A"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5C7D5F">
              <w:rPr>
                <w:rFonts w:eastAsia="Times New Roman" w:cs="Arial"/>
                <w:color w:val="auto"/>
                <w:sz w:val="14"/>
                <w:szCs w:val="14"/>
                <w:lang w:eastAsia="de-DE"/>
              </w:rPr>
              <w:t xml:space="preserve">Fenfluarmin, je </w:t>
            </w:r>
            <w:r>
              <w:rPr>
                <w:rFonts w:eastAsia="Times New Roman" w:cs="Arial"/>
                <w:color w:val="auto"/>
                <w:sz w:val="14"/>
                <w:szCs w:val="14"/>
                <w:lang w:eastAsia="de-DE"/>
              </w:rPr>
              <w:t xml:space="preserve">132 </w:t>
            </w:r>
            <w:r w:rsidRPr="005C7D5F">
              <w:rPr>
                <w:rFonts w:eastAsia="Times New Roman" w:cs="Arial"/>
                <w:color w:val="auto"/>
                <w:sz w:val="14"/>
                <w:szCs w:val="14"/>
                <w:lang w:eastAsia="de-DE"/>
              </w:rPr>
              <w:t xml:space="preserve">mg                    </w:t>
            </w:r>
            <w:r>
              <w:rPr>
                <w:rFonts w:eastAsia="Times New Roman" w:cs="Arial"/>
                <w:color w:val="auto"/>
                <w:sz w:val="14"/>
                <w:szCs w:val="14"/>
                <w:lang w:eastAsia="de-DE"/>
              </w:rPr>
              <w:t xml:space="preserve">                  480,21</w:t>
            </w:r>
            <w:r w:rsidRPr="005C7D5F">
              <w:rPr>
                <w:rFonts w:eastAsia="Times New Roman" w:cs="Arial"/>
                <w:color w:val="auto"/>
                <w:sz w:val="14"/>
                <w:szCs w:val="14"/>
                <w:lang w:eastAsia="de-DE"/>
              </w:rPr>
              <w:t xml:space="preserve"> €</w:t>
            </w:r>
          </w:p>
        </w:tc>
        <w:tc>
          <w:tcPr>
            <w:tcW w:w="3372" w:type="dxa"/>
            <w:shd w:val="clear" w:color="auto" w:fill="auto"/>
          </w:tcPr>
          <w:p w14:paraId="1FACDECD" w14:textId="2EF838D0"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950DC0">
              <w:rPr>
                <w:rFonts w:eastAsia="Times New Roman" w:cs="Arial"/>
                <w:color w:val="auto"/>
                <w:sz w:val="14"/>
                <w:szCs w:val="14"/>
                <w:lang w:eastAsia="de-DE"/>
              </w:rPr>
              <w:t>Risankizumab</w:t>
            </w:r>
            <w:r>
              <w:rPr>
                <w:rFonts w:eastAsia="Times New Roman" w:cs="Arial"/>
                <w:color w:val="auto"/>
                <w:sz w:val="14"/>
                <w:szCs w:val="14"/>
                <w:lang w:eastAsia="de-DE"/>
              </w:rPr>
              <w:t xml:space="preserve">, je </w:t>
            </w:r>
            <w:r>
              <w:rPr>
                <w:rFonts w:eastAsia="Times New Roman" w:cs="Arial"/>
                <w:color w:val="auto"/>
                <w:sz w:val="14"/>
                <w:szCs w:val="14"/>
                <w:lang w:eastAsia="de-DE"/>
              </w:rPr>
              <w:t>180/360/600mg</w:t>
            </w:r>
            <w:r>
              <w:rPr>
                <w:rFonts w:eastAsia="Times New Roman" w:cs="Arial"/>
                <w:color w:val="auto"/>
                <w:sz w:val="14"/>
                <w:szCs w:val="14"/>
                <w:lang w:eastAsia="de-DE"/>
              </w:rPr>
              <w:t xml:space="preserve">          </w:t>
            </w:r>
            <w:r>
              <w:rPr>
                <w:rFonts w:eastAsia="Times New Roman" w:cs="Arial"/>
                <w:color w:val="auto"/>
                <w:sz w:val="14"/>
                <w:szCs w:val="14"/>
                <w:lang w:eastAsia="de-DE"/>
              </w:rPr>
              <w:t xml:space="preserve"> 2.599,80</w:t>
            </w:r>
            <w:r w:rsidRPr="00950DC0">
              <w:rPr>
                <w:rFonts w:eastAsia="Times New Roman" w:cs="Arial"/>
                <w:color w:val="auto"/>
                <w:sz w:val="14"/>
                <w:szCs w:val="14"/>
                <w:lang w:eastAsia="de-DE"/>
              </w:rPr>
              <w:t xml:space="preserve"> €</w:t>
            </w:r>
          </w:p>
        </w:tc>
      </w:tr>
      <w:tr w:rsidR="00955BD8" w:rsidRPr="00A51AD0" w14:paraId="73234E64" w14:textId="77777777" w:rsidTr="001360B3">
        <w:trPr>
          <w:trHeight w:val="159"/>
        </w:trPr>
        <w:tc>
          <w:tcPr>
            <w:tcW w:w="3686" w:type="dxa"/>
            <w:shd w:val="clear" w:color="auto" w:fill="auto"/>
          </w:tcPr>
          <w:p w14:paraId="0F67A733" w14:textId="002C927C"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Avacopan, je 10 mg                                 </w:t>
            </w:r>
            <w:r>
              <w:rPr>
                <w:rFonts w:eastAsia="Times New Roman" w:cs="Arial"/>
                <w:color w:val="auto"/>
                <w:sz w:val="14"/>
                <w:szCs w:val="14"/>
                <w:lang w:eastAsia="de-DE"/>
              </w:rPr>
              <w:t xml:space="preserve">           34,64</w:t>
            </w:r>
            <w:r w:rsidRPr="00A51AD0">
              <w:rPr>
                <w:rFonts w:eastAsia="Times New Roman" w:cs="Arial"/>
                <w:color w:val="auto"/>
                <w:sz w:val="14"/>
                <w:szCs w:val="14"/>
                <w:lang w:eastAsia="de-DE"/>
              </w:rPr>
              <w:t xml:space="preserve"> €</w:t>
            </w:r>
          </w:p>
        </w:tc>
        <w:tc>
          <w:tcPr>
            <w:tcW w:w="3715" w:type="dxa"/>
            <w:shd w:val="clear" w:color="auto" w:fill="auto"/>
          </w:tcPr>
          <w:p w14:paraId="16860122" w14:textId="2931C62C"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940A2B">
              <w:rPr>
                <w:rFonts w:eastAsia="Times New Roman" w:cs="Arial"/>
                <w:color w:val="auto"/>
                <w:sz w:val="14"/>
                <w:szCs w:val="14"/>
                <w:lang w:eastAsia="de-DE"/>
              </w:rPr>
              <w:t>Glecaprevir-Pibrentasvir, 40/100 mg                 172,65 €</w:t>
            </w:r>
          </w:p>
        </w:tc>
        <w:tc>
          <w:tcPr>
            <w:tcW w:w="3372" w:type="dxa"/>
            <w:shd w:val="clear" w:color="auto" w:fill="auto"/>
          </w:tcPr>
          <w:p w14:paraId="2DE63245" w14:textId="37C87939"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4670F3">
              <w:rPr>
                <w:rFonts w:eastAsia="Times New Roman" w:cs="Arial"/>
                <w:color w:val="auto"/>
                <w:sz w:val="14"/>
                <w:szCs w:val="14"/>
                <w:lang w:eastAsia="de-DE"/>
              </w:rPr>
              <w:t>Ruxolitinib je 10/15/</w:t>
            </w:r>
            <w:r>
              <w:rPr>
                <w:rFonts w:eastAsia="Times New Roman" w:cs="Arial"/>
                <w:color w:val="auto"/>
                <w:sz w:val="14"/>
                <w:szCs w:val="14"/>
                <w:lang w:eastAsia="de-DE"/>
              </w:rPr>
              <w:t xml:space="preserve">20mg             </w:t>
            </w:r>
            <w:r w:rsidRPr="004670F3">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4670F3">
              <w:rPr>
                <w:rFonts w:eastAsia="Times New Roman" w:cs="Arial"/>
                <w:color w:val="auto"/>
                <w:sz w:val="14"/>
                <w:szCs w:val="14"/>
                <w:lang w:eastAsia="de-DE"/>
              </w:rPr>
              <w:t xml:space="preserve">  67,55 €</w:t>
            </w:r>
          </w:p>
        </w:tc>
      </w:tr>
      <w:tr w:rsidR="00955BD8" w:rsidRPr="00A51AD0" w14:paraId="061EC960" w14:textId="77777777" w:rsidTr="001360B3">
        <w:trPr>
          <w:trHeight w:val="159"/>
        </w:trPr>
        <w:tc>
          <w:tcPr>
            <w:tcW w:w="3686" w:type="dxa"/>
            <w:shd w:val="clear" w:color="auto" w:fill="auto"/>
          </w:tcPr>
          <w:p w14:paraId="2C833D8D" w14:textId="1FF8ED44"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Benralizumab, je 30 mg Fertigspritze             2.474,38 €</w:t>
            </w:r>
          </w:p>
        </w:tc>
        <w:tc>
          <w:tcPr>
            <w:tcW w:w="3715" w:type="dxa"/>
            <w:shd w:val="clear" w:color="auto" w:fill="auto"/>
          </w:tcPr>
          <w:p w14:paraId="41DD215D" w14:textId="758C3FC0"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Golimumab, je 50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871,71</w:t>
            </w:r>
            <w:r w:rsidRPr="00A51AD0">
              <w:rPr>
                <w:rFonts w:eastAsia="Times New Roman" w:cs="Arial"/>
                <w:color w:val="auto"/>
                <w:sz w:val="14"/>
                <w:szCs w:val="14"/>
                <w:lang w:eastAsia="de-DE"/>
              </w:rPr>
              <w:t xml:space="preserve"> €</w:t>
            </w:r>
          </w:p>
        </w:tc>
        <w:tc>
          <w:tcPr>
            <w:tcW w:w="3372" w:type="dxa"/>
            <w:shd w:val="clear" w:color="auto" w:fill="auto"/>
          </w:tcPr>
          <w:p w14:paraId="5B55D024" w14:textId="20DF5D2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Ruxolitinib je</w:t>
            </w:r>
            <w:r>
              <w:rPr>
                <w:rFonts w:eastAsia="Times New Roman" w:cs="Arial"/>
                <w:color w:val="auto"/>
                <w:sz w:val="14"/>
                <w:szCs w:val="14"/>
                <w:lang w:eastAsia="de-DE"/>
              </w:rPr>
              <w:t xml:space="preserve"> 5 mg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33,77 €</w:t>
            </w:r>
          </w:p>
        </w:tc>
      </w:tr>
      <w:tr w:rsidR="00955BD8" w:rsidRPr="00A51AD0" w14:paraId="751D8865" w14:textId="77777777" w:rsidTr="001360B3">
        <w:trPr>
          <w:trHeight w:val="159"/>
        </w:trPr>
        <w:tc>
          <w:tcPr>
            <w:tcW w:w="3686" w:type="dxa"/>
            <w:shd w:val="clear" w:color="auto" w:fill="auto"/>
          </w:tcPr>
          <w:p w14:paraId="6620289C" w14:textId="65FDBB3F"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Bimekizumab, je160mg Fertigspritze     </w:t>
            </w:r>
            <w:r>
              <w:rPr>
                <w:rFonts w:eastAsia="Times New Roman" w:cs="Arial"/>
                <w:color w:val="auto"/>
                <w:sz w:val="14"/>
                <w:szCs w:val="14"/>
                <w:lang w:eastAsia="de-DE"/>
              </w:rPr>
              <w:t xml:space="preserve">        1.191,71</w:t>
            </w:r>
            <w:r w:rsidRPr="00A51AD0">
              <w:rPr>
                <w:rFonts w:eastAsia="Times New Roman" w:cs="Arial"/>
                <w:color w:val="auto"/>
                <w:sz w:val="14"/>
                <w:szCs w:val="14"/>
                <w:lang w:eastAsia="de-DE"/>
              </w:rPr>
              <w:t xml:space="preserve"> €</w:t>
            </w:r>
          </w:p>
        </w:tc>
        <w:tc>
          <w:tcPr>
            <w:tcW w:w="3715" w:type="dxa"/>
            <w:shd w:val="clear" w:color="auto" w:fill="auto"/>
          </w:tcPr>
          <w:p w14:paraId="7AC2E679" w14:textId="2076AAAE"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Guselkumab, je 100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2.</w:t>
            </w:r>
            <w:r>
              <w:rPr>
                <w:rFonts w:eastAsia="Times New Roman" w:cs="Arial"/>
                <w:color w:val="auto"/>
                <w:sz w:val="14"/>
                <w:szCs w:val="14"/>
                <w:lang w:eastAsia="de-DE"/>
              </w:rPr>
              <w:t>566,44</w:t>
            </w:r>
            <w:r w:rsidRPr="00A51AD0">
              <w:rPr>
                <w:rFonts w:eastAsia="Times New Roman" w:cs="Arial"/>
                <w:color w:val="auto"/>
                <w:sz w:val="14"/>
                <w:szCs w:val="14"/>
                <w:lang w:eastAsia="de-DE"/>
              </w:rPr>
              <w:t xml:space="preserve"> €</w:t>
            </w:r>
          </w:p>
        </w:tc>
        <w:tc>
          <w:tcPr>
            <w:tcW w:w="3372" w:type="dxa"/>
            <w:shd w:val="clear" w:color="auto" w:fill="auto"/>
          </w:tcPr>
          <w:p w14:paraId="2210AF30" w14:textId="34051B53"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Sarilumab, je 150/200 mg                           672,94 €</w:t>
            </w:r>
          </w:p>
        </w:tc>
      </w:tr>
      <w:tr w:rsidR="00955BD8" w:rsidRPr="00A51AD0" w14:paraId="09A843B3" w14:textId="77777777" w:rsidTr="001360B3">
        <w:trPr>
          <w:trHeight w:val="159"/>
        </w:trPr>
        <w:tc>
          <w:tcPr>
            <w:tcW w:w="3686" w:type="dxa"/>
            <w:shd w:val="clear" w:color="auto" w:fill="auto"/>
          </w:tcPr>
          <w:p w14:paraId="0906813B" w14:textId="0BBF1362"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Bosutinib, je 100 mg Tablette                     </w:t>
            </w:r>
            <w:r>
              <w:rPr>
                <w:rFonts w:eastAsia="Times New Roman" w:cs="Arial"/>
                <w:color w:val="auto"/>
                <w:sz w:val="14"/>
                <w:szCs w:val="14"/>
                <w:lang w:eastAsia="de-DE"/>
              </w:rPr>
              <w:t xml:space="preserve">        14,42</w:t>
            </w:r>
            <w:r w:rsidRPr="00A51AD0">
              <w:rPr>
                <w:rFonts w:eastAsia="Times New Roman" w:cs="Arial"/>
                <w:color w:val="auto"/>
                <w:sz w:val="14"/>
                <w:szCs w:val="14"/>
                <w:lang w:eastAsia="de-DE"/>
              </w:rPr>
              <w:t xml:space="preserve"> €</w:t>
            </w:r>
          </w:p>
        </w:tc>
        <w:tc>
          <w:tcPr>
            <w:tcW w:w="3715" w:type="dxa"/>
            <w:shd w:val="clear" w:color="auto" w:fill="auto"/>
          </w:tcPr>
          <w:p w14:paraId="599875B2" w14:textId="037E877E"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Inclisiran,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8,30 €</w:t>
            </w:r>
          </w:p>
        </w:tc>
        <w:tc>
          <w:tcPr>
            <w:tcW w:w="3372" w:type="dxa"/>
            <w:shd w:val="clear" w:color="auto" w:fill="auto"/>
          </w:tcPr>
          <w:p w14:paraId="48E80F85" w14:textId="42F6128C"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Secukinumab, je </w:t>
            </w:r>
            <w:r>
              <w:rPr>
                <w:rFonts w:eastAsia="Times New Roman" w:cs="Arial"/>
                <w:color w:val="auto"/>
                <w:sz w:val="14"/>
                <w:szCs w:val="14"/>
                <w:lang w:eastAsia="de-DE"/>
              </w:rPr>
              <w:t>75</w:t>
            </w:r>
            <w:r w:rsidRPr="00A51AD0">
              <w:rPr>
                <w:rFonts w:eastAsia="Times New Roman" w:cs="Arial"/>
                <w:color w:val="auto"/>
                <w:sz w:val="14"/>
                <w:szCs w:val="14"/>
                <w:lang w:eastAsia="de-DE"/>
              </w:rPr>
              <w:t xml:space="preserv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320,74</w:t>
            </w:r>
            <w:r w:rsidRPr="00A51AD0">
              <w:rPr>
                <w:rFonts w:eastAsia="Times New Roman" w:cs="Arial"/>
                <w:color w:val="auto"/>
                <w:sz w:val="14"/>
                <w:szCs w:val="14"/>
                <w:lang w:eastAsia="de-DE"/>
              </w:rPr>
              <w:t xml:space="preserve"> €</w:t>
            </w:r>
          </w:p>
        </w:tc>
      </w:tr>
      <w:tr w:rsidR="00955BD8" w:rsidRPr="00A51AD0" w14:paraId="5F199A6B" w14:textId="77777777" w:rsidTr="001360B3">
        <w:trPr>
          <w:trHeight w:val="159"/>
        </w:trPr>
        <w:tc>
          <w:tcPr>
            <w:tcW w:w="3686" w:type="dxa"/>
            <w:shd w:val="clear" w:color="auto" w:fill="auto"/>
          </w:tcPr>
          <w:p w14:paraId="1739F076" w14:textId="15A2D5C2"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Brigatinib, je </w:t>
            </w:r>
            <w:r w:rsidRPr="00A51AD0">
              <w:rPr>
                <w:rFonts w:eastAsia="Times New Roman" w:cs="Arial"/>
                <w:color w:val="auto"/>
                <w:sz w:val="14"/>
                <w:szCs w:val="14"/>
                <w:lang w:eastAsia="de-DE"/>
              </w:rPr>
              <w:t xml:space="preserve">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1,13</w:t>
            </w:r>
            <w:r w:rsidRPr="00A51AD0">
              <w:rPr>
                <w:rFonts w:eastAsia="Times New Roman" w:cs="Arial"/>
                <w:color w:val="auto"/>
                <w:sz w:val="14"/>
                <w:szCs w:val="14"/>
                <w:lang w:eastAsia="de-DE"/>
              </w:rPr>
              <w:t xml:space="preserve"> €</w:t>
            </w:r>
          </w:p>
        </w:tc>
        <w:tc>
          <w:tcPr>
            <w:tcW w:w="3715" w:type="dxa"/>
            <w:shd w:val="clear" w:color="auto" w:fill="auto"/>
          </w:tcPr>
          <w:p w14:paraId="24CAAED1" w14:textId="28209BAE"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Ixekizumab, je 80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1.272,00 €</w:t>
            </w:r>
          </w:p>
        </w:tc>
        <w:tc>
          <w:tcPr>
            <w:tcW w:w="3372" w:type="dxa"/>
            <w:shd w:val="clear" w:color="auto" w:fill="auto"/>
          </w:tcPr>
          <w:p w14:paraId="0EA15A80" w14:textId="75326510"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Selexipag, je </w:t>
            </w:r>
            <w:r>
              <w:rPr>
                <w:rFonts w:eastAsia="Times New Roman" w:cs="Arial"/>
                <w:color w:val="auto"/>
                <w:sz w:val="14"/>
                <w:szCs w:val="14"/>
                <w:lang w:eastAsia="de-DE"/>
              </w:rPr>
              <w:t xml:space="preserve">Tbl.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50,53</w:t>
            </w:r>
            <w:r w:rsidRPr="00A51AD0">
              <w:rPr>
                <w:rFonts w:eastAsia="Times New Roman" w:cs="Arial"/>
                <w:color w:val="auto"/>
                <w:sz w:val="14"/>
                <w:szCs w:val="14"/>
                <w:lang w:eastAsia="de-DE"/>
              </w:rPr>
              <w:t xml:space="preserve"> €</w:t>
            </w:r>
          </w:p>
        </w:tc>
      </w:tr>
      <w:tr w:rsidR="00955BD8" w:rsidRPr="00A51AD0" w14:paraId="350AED68" w14:textId="77777777" w:rsidTr="001360B3">
        <w:trPr>
          <w:trHeight w:val="159"/>
        </w:trPr>
        <w:tc>
          <w:tcPr>
            <w:tcW w:w="3686" w:type="dxa"/>
            <w:shd w:val="clear" w:color="auto" w:fill="auto"/>
          </w:tcPr>
          <w:p w14:paraId="7445E45E" w14:textId="0BB6DFBB"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210 mg                                    662,83 €</w:t>
            </w:r>
          </w:p>
        </w:tc>
        <w:tc>
          <w:tcPr>
            <w:tcW w:w="3715" w:type="dxa"/>
            <w:shd w:val="clear" w:color="auto" w:fill="auto"/>
          </w:tcPr>
          <w:p w14:paraId="3856E0C3" w14:textId="060130D1"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Lanadelumab,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69,54 €</w:t>
            </w:r>
          </w:p>
        </w:tc>
        <w:tc>
          <w:tcPr>
            <w:tcW w:w="3372" w:type="dxa"/>
            <w:shd w:val="clear" w:color="auto" w:fill="auto"/>
          </w:tcPr>
          <w:p w14:paraId="77F960FE" w14:textId="295C1FB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Selpercatinib, je </w:t>
            </w:r>
            <w:r w:rsidRPr="00A51AD0">
              <w:rPr>
                <w:rFonts w:eastAsia="Times New Roman" w:cs="Arial"/>
                <w:color w:val="auto"/>
                <w:sz w:val="14"/>
                <w:szCs w:val="14"/>
                <w:lang w:eastAsia="de-DE"/>
              </w:rPr>
              <w:t xml:space="preserve">mg                                </w:t>
            </w:r>
            <w:r>
              <w:rPr>
                <w:rFonts w:eastAsia="Times New Roman" w:cs="Arial"/>
                <w:color w:val="auto"/>
                <w:sz w:val="14"/>
                <w:szCs w:val="14"/>
                <w:lang w:eastAsia="de-DE"/>
              </w:rPr>
              <w:t xml:space="preserve">       0,41</w:t>
            </w:r>
            <w:r w:rsidRPr="00A51AD0">
              <w:rPr>
                <w:rFonts w:eastAsia="Times New Roman" w:cs="Arial"/>
                <w:color w:val="auto"/>
                <w:sz w:val="14"/>
                <w:szCs w:val="14"/>
                <w:lang w:eastAsia="de-DE"/>
              </w:rPr>
              <w:t xml:space="preserve"> €</w:t>
            </w:r>
          </w:p>
        </w:tc>
      </w:tr>
      <w:tr w:rsidR="00955BD8" w:rsidRPr="00A51AD0" w14:paraId="081F9A52" w14:textId="77777777" w:rsidTr="001360B3">
        <w:trPr>
          <w:trHeight w:val="159"/>
        </w:trPr>
        <w:tc>
          <w:tcPr>
            <w:tcW w:w="3686" w:type="dxa"/>
            <w:shd w:val="clear" w:color="auto" w:fill="auto"/>
          </w:tcPr>
          <w:p w14:paraId="7F426F71" w14:textId="46A93E5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mg                                               3,16 €</w:t>
            </w:r>
          </w:p>
        </w:tc>
        <w:tc>
          <w:tcPr>
            <w:tcW w:w="3715" w:type="dxa"/>
            <w:shd w:val="clear" w:color="auto" w:fill="auto"/>
          </w:tcPr>
          <w:p w14:paraId="32BA38E3" w14:textId="76BA63CA"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Ledipasvir-Sofosbuvir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517,95 €</w:t>
            </w:r>
          </w:p>
        </w:tc>
        <w:tc>
          <w:tcPr>
            <w:tcW w:w="3372" w:type="dxa"/>
            <w:shd w:val="clear" w:color="auto" w:fill="auto"/>
          </w:tcPr>
          <w:p w14:paraId="2D25399A" w14:textId="4E393733"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Sofosbuvir, je 150/200/400 mg                   495,55 €</w:t>
            </w:r>
          </w:p>
        </w:tc>
      </w:tr>
      <w:tr w:rsidR="00955BD8" w:rsidRPr="00A51AD0" w14:paraId="2548031A" w14:textId="77777777" w:rsidTr="001360B3">
        <w:trPr>
          <w:trHeight w:val="159"/>
        </w:trPr>
        <w:tc>
          <w:tcPr>
            <w:tcW w:w="3686" w:type="dxa"/>
            <w:shd w:val="clear" w:color="auto" w:fill="auto"/>
          </w:tcPr>
          <w:p w14:paraId="3F6FF94E" w14:textId="488F8BB9"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Cabozantinib, je 20/40/60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157,73 €</w:t>
            </w:r>
          </w:p>
        </w:tc>
        <w:tc>
          <w:tcPr>
            <w:tcW w:w="3715" w:type="dxa"/>
            <w:shd w:val="clear" w:color="auto" w:fill="auto"/>
          </w:tcPr>
          <w:p w14:paraId="45BC040C" w14:textId="6793407B"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Lorlatinib, je</w:t>
            </w:r>
            <w:r w:rsidRPr="00A51AD0">
              <w:rPr>
                <w:rFonts w:eastAsia="Times New Roman" w:cs="Arial"/>
                <w:color w:val="auto"/>
                <w:sz w:val="14"/>
                <w:szCs w:val="14"/>
                <w:lang w:eastAsia="de-DE"/>
              </w:rPr>
              <w:t xml:space="preserv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1,73</w:t>
            </w:r>
            <w:r w:rsidRPr="00A51AD0">
              <w:rPr>
                <w:rFonts w:eastAsia="Times New Roman" w:cs="Arial"/>
                <w:color w:val="auto"/>
                <w:sz w:val="14"/>
                <w:szCs w:val="14"/>
                <w:lang w:eastAsia="de-DE"/>
              </w:rPr>
              <w:t xml:space="preserve"> €</w:t>
            </w:r>
          </w:p>
        </w:tc>
        <w:tc>
          <w:tcPr>
            <w:tcW w:w="3372" w:type="dxa"/>
            <w:shd w:val="clear" w:color="auto" w:fill="auto"/>
          </w:tcPr>
          <w:p w14:paraId="58F40A9D" w14:textId="04076E3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Sofosbuvir-Velpatasvir je Tbl.                     344,64 €</w:t>
            </w:r>
          </w:p>
        </w:tc>
      </w:tr>
      <w:tr w:rsidR="00955BD8" w:rsidRPr="00A51AD0" w14:paraId="69294DAD" w14:textId="77777777" w:rsidTr="001360B3">
        <w:trPr>
          <w:trHeight w:val="159"/>
        </w:trPr>
        <w:tc>
          <w:tcPr>
            <w:tcW w:w="3686" w:type="dxa"/>
            <w:shd w:val="clear" w:color="auto" w:fill="auto"/>
          </w:tcPr>
          <w:p w14:paraId="56ABBCA8" w14:textId="45F0215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Canakinumab, je 150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13.576,50 €</w:t>
            </w:r>
          </w:p>
        </w:tc>
        <w:tc>
          <w:tcPr>
            <w:tcW w:w="3715" w:type="dxa"/>
            <w:shd w:val="clear" w:color="auto" w:fill="auto"/>
          </w:tcPr>
          <w:p w14:paraId="15716C6C" w14:textId="171D9184"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Mepolizumab,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11,89 €</w:t>
            </w:r>
          </w:p>
        </w:tc>
        <w:tc>
          <w:tcPr>
            <w:tcW w:w="3372" w:type="dxa"/>
            <w:shd w:val="clear" w:color="auto" w:fill="auto"/>
          </w:tcPr>
          <w:p w14:paraId="3B593A96" w14:textId="2C1B9017"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Sofosbuvir-Velpatasvir-Voxialprevir            692,64 €</w:t>
            </w:r>
          </w:p>
        </w:tc>
      </w:tr>
      <w:tr w:rsidR="00955BD8" w:rsidRPr="00A51AD0" w14:paraId="0BB844B2" w14:textId="77777777" w:rsidTr="001360B3">
        <w:trPr>
          <w:trHeight w:val="159"/>
        </w:trPr>
        <w:tc>
          <w:tcPr>
            <w:tcW w:w="3686" w:type="dxa"/>
            <w:shd w:val="clear" w:color="auto" w:fill="auto"/>
          </w:tcPr>
          <w:p w14:paraId="7095E719" w14:textId="283B8DA7"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Ceritinib, je 150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58,50 €</w:t>
            </w:r>
          </w:p>
        </w:tc>
        <w:tc>
          <w:tcPr>
            <w:tcW w:w="3715" w:type="dxa"/>
            <w:shd w:val="clear" w:color="auto" w:fill="auto"/>
          </w:tcPr>
          <w:p w14:paraId="41CF9096" w14:textId="64643ED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Nimatrelvier-Ritonavir, je 150/100mg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35,70</w:t>
            </w:r>
            <w:r w:rsidRPr="00A51AD0">
              <w:rPr>
                <w:rFonts w:eastAsia="Times New Roman" w:cs="Arial"/>
                <w:color w:val="auto"/>
                <w:sz w:val="14"/>
                <w:szCs w:val="14"/>
                <w:lang w:eastAsia="de-DE"/>
              </w:rPr>
              <w:t xml:space="preserve"> €</w:t>
            </w:r>
          </w:p>
        </w:tc>
        <w:tc>
          <w:tcPr>
            <w:tcW w:w="3372" w:type="dxa"/>
            <w:shd w:val="clear" w:color="auto" w:fill="auto"/>
          </w:tcPr>
          <w:p w14:paraId="52EA908D" w14:textId="38739BF8"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Sotrovimab, je mg                                           4,52 €</w:t>
            </w:r>
          </w:p>
        </w:tc>
      </w:tr>
      <w:tr w:rsidR="00955BD8" w:rsidRPr="00A51AD0" w14:paraId="0E958466" w14:textId="77777777" w:rsidTr="001360B3">
        <w:trPr>
          <w:trHeight w:val="159"/>
        </w:trPr>
        <w:tc>
          <w:tcPr>
            <w:tcW w:w="3686" w:type="dxa"/>
            <w:shd w:val="clear" w:color="auto" w:fill="auto"/>
          </w:tcPr>
          <w:p w14:paraId="3730217A" w14:textId="2161C6BB"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Certolizumab, je 200 mg                           </w:t>
            </w:r>
            <w:r>
              <w:rPr>
                <w:rFonts w:eastAsia="Times New Roman" w:cs="Arial"/>
                <w:color w:val="auto"/>
                <w:sz w:val="14"/>
                <w:szCs w:val="14"/>
                <w:lang w:eastAsia="de-DE"/>
              </w:rPr>
              <w:t xml:space="preserve">        435,86</w:t>
            </w:r>
            <w:r w:rsidRPr="00A51AD0">
              <w:rPr>
                <w:rFonts w:eastAsia="Times New Roman" w:cs="Arial"/>
                <w:color w:val="auto"/>
                <w:sz w:val="14"/>
                <w:szCs w:val="14"/>
                <w:lang w:eastAsia="de-DE"/>
              </w:rPr>
              <w:t xml:space="preserve"> €</w:t>
            </w:r>
          </w:p>
        </w:tc>
        <w:tc>
          <w:tcPr>
            <w:tcW w:w="3715" w:type="dxa"/>
            <w:shd w:val="clear" w:color="auto" w:fill="auto"/>
          </w:tcPr>
          <w:p w14:paraId="4C8123BB" w14:textId="74CB4EF6"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Ofatumumab,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62,26 €</w:t>
            </w:r>
          </w:p>
        </w:tc>
        <w:tc>
          <w:tcPr>
            <w:tcW w:w="3372" w:type="dxa"/>
            <w:shd w:val="clear" w:color="auto" w:fill="auto"/>
          </w:tcPr>
          <w:p w14:paraId="114491AE" w14:textId="46335C39"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Tildrakizumab, je 100</w:t>
            </w:r>
            <w:r>
              <w:rPr>
                <w:rFonts w:eastAsia="Times New Roman" w:cs="Arial"/>
                <w:color w:val="auto"/>
                <w:sz w:val="14"/>
                <w:szCs w:val="14"/>
                <w:lang w:eastAsia="de-DE"/>
              </w:rPr>
              <w:t>/200 mg                 3.023,46</w:t>
            </w:r>
            <w:r w:rsidRPr="00A51AD0">
              <w:rPr>
                <w:rFonts w:eastAsia="Times New Roman" w:cs="Arial"/>
                <w:color w:val="auto"/>
                <w:sz w:val="14"/>
                <w:szCs w:val="14"/>
                <w:lang w:eastAsia="de-DE"/>
              </w:rPr>
              <w:t xml:space="preserve"> €</w:t>
            </w:r>
          </w:p>
        </w:tc>
      </w:tr>
      <w:tr w:rsidR="00955BD8" w:rsidRPr="00A51AD0" w14:paraId="3DFF2CBF" w14:textId="77777777" w:rsidTr="001360B3">
        <w:trPr>
          <w:trHeight w:val="159"/>
        </w:trPr>
        <w:tc>
          <w:tcPr>
            <w:tcW w:w="3686" w:type="dxa"/>
            <w:shd w:val="clear" w:color="auto" w:fill="auto"/>
          </w:tcPr>
          <w:p w14:paraId="1904FBC6" w14:textId="52AADF33"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Crizotinib, je 200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69,50 €</w:t>
            </w:r>
          </w:p>
        </w:tc>
        <w:tc>
          <w:tcPr>
            <w:tcW w:w="3715" w:type="dxa"/>
            <w:shd w:val="clear" w:color="auto" w:fill="auto"/>
          </w:tcPr>
          <w:p w14:paraId="6F3B8FAD" w14:textId="36A12E8D"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Olaparib,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0,27</w:t>
            </w:r>
            <w:r w:rsidRPr="00A51AD0">
              <w:rPr>
                <w:rFonts w:eastAsia="Times New Roman" w:cs="Arial"/>
                <w:color w:val="auto"/>
                <w:sz w:val="14"/>
                <w:szCs w:val="14"/>
                <w:lang w:eastAsia="de-DE"/>
              </w:rPr>
              <w:t xml:space="preserve"> €</w:t>
            </w:r>
          </w:p>
        </w:tc>
        <w:tc>
          <w:tcPr>
            <w:tcW w:w="3372" w:type="dxa"/>
            <w:shd w:val="clear" w:color="auto" w:fill="auto"/>
          </w:tcPr>
          <w:p w14:paraId="5B03DB41" w14:textId="3B65DC76"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Tixagevimab-Cilga</w:t>
            </w:r>
            <w:r>
              <w:rPr>
                <w:rFonts w:eastAsia="Times New Roman" w:cs="Arial"/>
                <w:color w:val="auto"/>
                <w:sz w:val="14"/>
                <w:szCs w:val="14"/>
                <w:lang w:eastAsia="de-DE"/>
              </w:rPr>
              <w:t>vimab 150 mg               886,88</w:t>
            </w:r>
            <w:r w:rsidRPr="00A51AD0">
              <w:rPr>
                <w:rFonts w:eastAsia="Times New Roman" w:cs="Arial"/>
                <w:color w:val="auto"/>
                <w:sz w:val="14"/>
                <w:szCs w:val="14"/>
                <w:lang w:eastAsia="de-DE"/>
              </w:rPr>
              <w:t xml:space="preserve"> €</w:t>
            </w:r>
          </w:p>
        </w:tc>
      </w:tr>
      <w:tr w:rsidR="00955BD8" w:rsidRPr="00A51AD0" w14:paraId="7B6215E4" w14:textId="77777777" w:rsidTr="001360B3">
        <w:trPr>
          <w:trHeight w:val="159"/>
        </w:trPr>
        <w:tc>
          <w:tcPr>
            <w:tcW w:w="3686" w:type="dxa"/>
            <w:shd w:val="clear" w:color="auto" w:fill="auto"/>
          </w:tcPr>
          <w:p w14:paraId="016476F4" w14:textId="00417DC6"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Dabrafenib, je 50 mg Kapsel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31,15 €</w:t>
            </w:r>
          </w:p>
        </w:tc>
        <w:tc>
          <w:tcPr>
            <w:tcW w:w="3715" w:type="dxa"/>
            <w:shd w:val="clear" w:color="auto" w:fill="auto"/>
          </w:tcPr>
          <w:p w14:paraId="063420C6" w14:textId="6083A260"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Osimertinib, je 40 mg o. 80 mg Tbl.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184,55 €</w:t>
            </w:r>
          </w:p>
        </w:tc>
        <w:tc>
          <w:tcPr>
            <w:tcW w:w="3372" w:type="dxa"/>
            <w:shd w:val="clear" w:color="auto" w:fill="auto"/>
          </w:tcPr>
          <w:p w14:paraId="18D9ECE7" w14:textId="4DC767F8"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Tremelimumab, je mg        </w:t>
            </w:r>
            <w:r>
              <w:rPr>
                <w:rFonts w:eastAsia="Times New Roman" w:cs="Arial"/>
                <w:color w:val="auto"/>
                <w:sz w:val="14"/>
                <w:szCs w:val="14"/>
                <w:lang w:eastAsia="de-DE"/>
              </w:rPr>
              <w:t xml:space="preserve">                           66,89</w:t>
            </w:r>
            <w:r w:rsidRPr="00A51AD0">
              <w:rPr>
                <w:rFonts w:eastAsia="Times New Roman" w:cs="Arial"/>
                <w:color w:val="auto"/>
                <w:sz w:val="14"/>
                <w:szCs w:val="14"/>
                <w:lang w:eastAsia="de-DE"/>
              </w:rPr>
              <w:t xml:space="preserve"> €</w:t>
            </w:r>
          </w:p>
        </w:tc>
      </w:tr>
      <w:tr w:rsidR="00955BD8" w:rsidRPr="00A51AD0" w14:paraId="57D9F965" w14:textId="77777777" w:rsidTr="001360B3">
        <w:trPr>
          <w:trHeight w:val="159"/>
        </w:trPr>
        <w:tc>
          <w:tcPr>
            <w:tcW w:w="3686" w:type="dxa"/>
            <w:shd w:val="clear" w:color="auto" w:fill="auto"/>
          </w:tcPr>
          <w:p w14:paraId="7CEEC0B2" w14:textId="428C29D7"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D</w:t>
            </w:r>
            <w:r>
              <w:rPr>
                <w:rFonts w:eastAsia="Times New Roman" w:cs="Arial"/>
                <w:color w:val="auto"/>
                <w:sz w:val="14"/>
                <w:szCs w:val="14"/>
                <w:lang w:eastAsia="de-DE"/>
              </w:rPr>
              <w:t>upil</w:t>
            </w:r>
            <w:r w:rsidRPr="00A51AD0">
              <w:rPr>
                <w:rFonts w:eastAsia="Times New Roman" w:cs="Arial"/>
                <w:color w:val="auto"/>
                <w:sz w:val="14"/>
                <w:szCs w:val="14"/>
                <w:lang w:eastAsia="de-DE"/>
              </w:rPr>
              <w:t xml:space="preserve">umab, je 200mg/300mg               </w:t>
            </w:r>
            <w:r>
              <w:rPr>
                <w:rFonts w:eastAsia="Times New Roman" w:cs="Arial"/>
                <w:color w:val="auto"/>
                <w:sz w:val="14"/>
                <w:szCs w:val="14"/>
                <w:lang w:eastAsia="de-DE"/>
              </w:rPr>
              <w:t xml:space="preserve">            623,10 </w:t>
            </w:r>
            <w:r w:rsidRPr="00A51AD0">
              <w:rPr>
                <w:rFonts w:eastAsia="Times New Roman" w:cs="Arial"/>
                <w:color w:val="auto"/>
                <w:sz w:val="14"/>
                <w:szCs w:val="14"/>
                <w:lang w:eastAsia="de-DE"/>
              </w:rPr>
              <w:t>€</w:t>
            </w:r>
          </w:p>
        </w:tc>
        <w:tc>
          <w:tcPr>
            <w:tcW w:w="3715" w:type="dxa"/>
            <w:shd w:val="clear" w:color="auto" w:fill="auto"/>
          </w:tcPr>
          <w:p w14:paraId="6E635C3B" w14:textId="34F91DD5"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Palbociclib je 75/100/125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84,48</w:t>
            </w:r>
            <w:r w:rsidRPr="00A51AD0">
              <w:rPr>
                <w:rFonts w:eastAsia="Times New Roman" w:cs="Arial"/>
                <w:color w:val="auto"/>
                <w:sz w:val="14"/>
                <w:szCs w:val="14"/>
                <w:lang w:eastAsia="de-DE"/>
              </w:rPr>
              <w:t xml:space="preserve"> €</w:t>
            </w:r>
          </w:p>
        </w:tc>
        <w:tc>
          <w:tcPr>
            <w:tcW w:w="3372" w:type="dxa"/>
            <w:shd w:val="clear" w:color="auto" w:fill="auto"/>
          </w:tcPr>
          <w:p w14:paraId="74D62F1A" w14:textId="75EC6B68"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Trifluridin-Tipiracil, je 15 mg/6,14 mg           39,30 €</w:t>
            </w:r>
          </w:p>
        </w:tc>
      </w:tr>
      <w:tr w:rsidR="00955BD8" w:rsidRPr="00A51AD0" w14:paraId="166A479E" w14:textId="77777777" w:rsidTr="001360B3">
        <w:trPr>
          <w:trHeight w:val="159"/>
        </w:trPr>
        <w:tc>
          <w:tcPr>
            <w:tcW w:w="3686" w:type="dxa"/>
            <w:shd w:val="clear" w:color="auto" w:fill="auto"/>
          </w:tcPr>
          <w:p w14:paraId="3730E0BA" w14:textId="13B3AAEE"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Elbasvir-Grazoprevir, je Tbl.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298,52 €</w:t>
            </w:r>
          </w:p>
        </w:tc>
        <w:tc>
          <w:tcPr>
            <w:tcW w:w="3715" w:type="dxa"/>
            <w:shd w:val="clear" w:color="auto" w:fill="auto"/>
          </w:tcPr>
          <w:p w14:paraId="692A216D" w14:textId="53FA4FDE"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51AD0">
              <w:rPr>
                <w:rFonts w:eastAsia="Times New Roman" w:cs="Arial"/>
                <w:color w:val="auto"/>
                <w:sz w:val="14"/>
                <w:szCs w:val="14"/>
                <w:lang w:eastAsia="de-DE"/>
              </w:rPr>
              <w:t xml:space="preserve">Remdesivir, je mg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A51AD0">
              <w:rPr>
                <w:rFonts w:eastAsia="Times New Roman" w:cs="Arial"/>
                <w:color w:val="auto"/>
                <w:sz w:val="14"/>
                <w:szCs w:val="14"/>
                <w:lang w:eastAsia="de-DE"/>
              </w:rPr>
              <w:t xml:space="preserve"> 4,11 €</w:t>
            </w:r>
          </w:p>
        </w:tc>
        <w:tc>
          <w:tcPr>
            <w:tcW w:w="3372" w:type="dxa"/>
            <w:shd w:val="clear" w:color="auto" w:fill="auto"/>
          </w:tcPr>
          <w:p w14:paraId="105134FB" w14:textId="09E17E94" w:rsidR="00955BD8" w:rsidRPr="00A51AD0" w:rsidRDefault="00955BD8" w:rsidP="00955BD8">
            <w:pPr>
              <w:widowControl w:val="0"/>
              <w:spacing w:after="0" w:line="240" w:lineRule="auto"/>
              <w:contextualSpacing/>
              <w:jc w:val="both"/>
              <w:rPr>
                <w:rFonts w:eastAsia="Times New Roman" w:cs="Arial"/>
                <w:color w:val="auto"/>
                <w:sz w:val="14"/>
                <w:szCs w:val="14"/>
                <w:lang w:eastAsia="de-DE"/>
              </w:rPr>
            </w:pPr>
            <w:r w:rsidRPr="00AD4DD5">
              <w:rPr>
                <w:rFonts w:eastAsia="Times New Roman" w:cs="Arial"/>
                <w:color w:val="auto"/>
                <w:sz w:val="14"/>
                <w:szCs w:val="14"/>
                <w:lang w:eastAsia="de-DE"/>
              </w:rPr>
              <w:t>Zanamivir, intravenös je 200 mg                160,00 €</w:t>
            </w:r>
          </w:p>
        </w:tc>
      </w:tr>
    </w:tbl>
    <w:p w14:paraId="74B636F0" w14:textId="77777777" w:rsidR="00861EC7" w:rsidRPr="00107FCA" w:rsidRDefault="00861EC7" w:rsidP="008B0237">
      <w:pPr>
        <w:spacing w:after="0" w:line="240" w:lineRule="auto"/>
        <w:ind w:left="-567" w:right="-427"/>
        <w:jc w:val="both"/>
        <w:rPr>
          <w:rFonts w:eastAsia="Times New Roman" w:cs="Arial"/>
          <w:b/>
          <w:bCs/>
          <w:color w:val="auto"/>
          <w:sz w:val="8"/>
          <w:szCs w:val="8"/>
          <w:lang w:eastAsia="de-DE"/>
        </w:rPr>
      </w:pPr>
    </w:p>
    <w:p w14:paraId="39A8B844" w14:textId="55F35FFC" w:rsidR="008B0237" w:rsidRPr="008B0237" w:rsidRDefault="008B0237" w:rsidP="008B0237">
      <w:pPr>
        <w:spacing w:after="0" w:line="240" w:lineRule="auto"/>
        <w:ind w:left="-567" w:right="-427"/>
        <w:jc w:val="both"/>
        <w:rPr>
          <w:rFonts w:eastAsia="Times New Roman" w:cs="Arial"/>
          <w:b/>
          <w:bCs/>
          <w:color w:val="auto"/>
          <w:sz w:val="16"/>
          <w:szCs w:val="16"/>
          <w:lang w:eastAsia="de-DE"/>
        </w:rPr>
      </w:pPr>
      <w:r w:rsidRPr="008B0237">
        <w:rPr>
          <w:rFonts w:eastAsia="Times New Roman" w:cs="Arial"/>
          <w:b/>
          <w:bCs/>
          <w:color w:val="auto"/>
          <w:sz w:val="16"/>
          <w:szCs w:val="16"/>
          <w:lang w:eastAsia="de-DE"/>
        </w:rPr>
        <w:t>6. Entgelte für vor- und nachstationäre Behandlungen gem. § 115a SGB V</w:t>
      </w:r>
    </w:p>
    <w:p w14:paraId="18B1C865" w14:textId="77777777" w:rsidR="008B0237" w:rsidRPr="008B0237" w:rsidRDefault="008B0237" w:rsidP="008B0237">
      <w:pPr>
        <w:spacing w:after="0" w:line="240" w:lineRule="auto"/>
        <w:ind w:left="-567" w:right="-427"/>
        <w:jc w:val="both"/>
        <w:rPr>
          <w:rFonts w:eastAsia="Times New Roman" w:cs="Arial"/>
          <w:color w:val="auto"/>
          <w:sz w:val="16"/>
          <w:szCs w:val="16"/>
          <w:lang w:eastAsia="de-DE"/>
        </w:rPr>
      </w:pPr>
      <w:r w:rsidRPr="008B0237">
        <w:rPr>
          <w:rFonts w:eastAsia="Times New Roman" w:cs="Arial"/>
          <w:color w:val="auto"/>
          <w:sz w:val="16"/>
          <w:szCs w:val="16"/>
          <w:lang w:eastAsia="de-DE"/>
        </w:rPr>
        <w:t>Gem. § 115a SGB V berechnet das Krankenhaus für vor- und nachstationäre Behandlungen folgende Entgelte</w:t>
      </w:r>
    </w:p>
    <w:tbl>
      <w:tblPr>
        <w:tblW w:w="107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5"/>
        <w:gridCol w:w="4820"/>
      </w:tblGrid>
      <w:tr w:rsidR="008B0237" w:rsidRPr="008B0237" w14:paraId="082AE98E" w14:textId="77777777" w:rsidTr="004A3D31">
        <w:tc>
          <w:tcPr>
            <w:tcW w:w="5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618D4D" w14:textId="77777777" w:rsidR="008B0237" w:rsidRPr="008B0237" w:rsidRDefault="008B0237" w:rsidP="008B0237">
            <w:p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b/>
                <w:bCs/>
                <w:color w:val="auto"/>
                <w:sz w:val="16"/>
                <w:szCs w:val="20"/>
                <w:lang w:eastAsia="de-DE"/>
              </w:rPr>
              <w:t>a) vorstationäre Behandlung</w:t>
            </w:r>
          </w:p>
        </w:tc>
        <w:tc>
          <w:tcPr>
            <w:tcW w:w="4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76AF2B" w14:textId="77777777" w:rsidR="008B0237" w:rsidRPr="008B0237" w:rsidRDefault="008B0237" w:rsidP="008B0237">
            <w:p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b/>
                <w:bCs/>
                <w:color w:val="auto"/>
                <w:sz w:val="16"/>
                <w:szCs w:val="20"/>
                <w:lang w:eastAsia="de-DE"/>
              </w:rPr>
              <w:t>b) nachstationäre Behandlung</w:t>
            </w:r>
          </w:p>
        </w:tc>
      </w:tr>
      <w:tr w:rsidR="008B0237" w:rsidRPr="008B0237" w14:paraId="36768BF5" w14:textId="77777777" w:rsidTr="004A3D31">
        <w:tc>
          <w:tcPr>
            <w:tcW w:w="5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4E9379" w14:textId="77777777" w:rsidR="008B0237" w:rsidRPr="008B0237" w:rsidRDefault="008B0237" w:rsidP="008B0237">
            <w:pPr>
              <w:numPr>
                <w:ilvl w:val="0"/>
                <w:numId w:val="6"/>
              </w:num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color w:val="auto"/>
                <w:sz w:val="16"/>
                <w:szCs w:val="20"/>
                <w:lang w:eastAsia="de-DE"/>
              </w:rPr>
              <w:t>Lungen- u. Bronchialheilkunde</w:t>
            </w:r>
            <w:r w:rsidRPr="008B0237">
              <w:rPr>
                <w:rFonts w:eastAsia="Times New Roman" w:cs="Arial"/>
                <w:b/>
                <w:bCs/>
                <w:color w:val="auto"/>
                <w:sz w:val="16"/>
                <w:szCs w:val="16"/>
                <w:lang w:eastAsia="de-DE"/>
              </w:rPr>
              <w:t xml:space="preserve">                             </w:t>
            </w:r>
            <w:r w:rsidRPr="008B0237">
              <w:rPr>
                <w:rFonts w:eastAsia="Times New Roman" w:cs="Arial"/>
                <w:color w:val="auto"/>
                <w:sz w:val="16"/>
                <w:szCs w:val="20"/>
                <w:lang w:eastAsia="de-DE"/>
              </w:rPr>
              <w:t>111,46 €</w:t>
            </w:r>
          </w:p>
        </w:tc>
        <w:tc>
          <w:tcPr>
            <w:tcW w:w="4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7C6D35" w14:textId="77777777" w:rsidR="008B0237" w:rsidRPr="008B0237" w:rsidRDefault="008B0237" w:rsidP="008B0237">
            <w:pPr>
              <w:numPr>
                <w:ilvl w:val="0"/>
                <w:numId w:val="7"/>
              </w:num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color w:val="auto"/>
                <w:sz w:val="16"/>
                <w:szCs w:val="20"/>
                <w:lang w:eastAsia="de-DE"/>
              </w:rPr>
              <w:t>Lungen- u. Bronchialheilkunde</w:t>
            </w:r>
            <w:r w:rsidRPr="008B0237">
              <w:rPr>
                <w:rFonts w:eastAsia="Times New Roman" w:cs="Arial"/>
                <w:b/>
                <w:bCs/>
                <w:color w:val="auto"/>
                <w:sz w:val="16"/>
                <w:szCs w:val="16"/>
                <w:lang w:eastAsia="de-DE"/>
              </w:rPr>
              <w:t xml:space="preserve">                    </w:t>
            </w:r>
            <w:r w:rsidRPr="008B0237">
              <w:rPr>
                <w:rFonts w:eastAsia="Times New Roman" w:cs="Arial"/>
                <w:color w:val="auto"/>
                <w:sz w:val="16"/>
                <w:szCs w:val="20"/>
                <w:lang w:eastAsia="de-DE"/>
              </w:rPr>
              <w:t>48,06 €</w:t>
            </w:r>
          </w:p>
        </w:tc>
      </w:tr>
      <w:tr w:rsidR="008B0237" w:rsidRPr="008B0237" w14:paraId="4D5505FB" w14:textId="77777777" w:rsidTr="004A3D31">
        <w:tc>
          <w:tcPr>
            <w:tcW w:w="5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E3F9A9" w14:textId="77777777" w:rsidR="008B0237" w:rsidRPr="008B0237" w:rsidRDefault="008B0237" w:rsidP="008B0237">
            <w:pPr>
              <w:numPr>
                <w:ilvl w:val="0"/>
                <w:numId w:val="6"/>
              </w:num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color w:val="auto"/>
                <w:sz w:val="16"/>
                <w:szCs w:val="20"/>
                <w:lang w:eastAsia="de-DE"/>
              </w:rPr>
              <w:t>Rheumatologie</w:t>
            </w:r>
            <w:r w:rsidRPr="008B0237">
              <w:rPr>
                <w:rFonts w:eastAsia="Times New Roman" w:cs="Arial"/>
                <w:b/>
                <w:bCs/>
                <w:color w:val="auto"/>
                <w:sz w:val="16"/>
                <w:szCs w:val="16"/>
                <w:lang w:eastAsia="de-DE"/>
              </w:rPr>
              <w:t xml:space="preserve">                                                     </w:t>
            </w:r>
            <w:r w:rsidRPr="008B0237">
              <w:rPr>
                <w:rFonts w:eastAsia="Times New Roman" w:cs="Arial"/>
                <w:color w:val="auto"/>
                <w:sz w:val="16"/>
                <w:szCs w:val="20"/>
                <w:lang w:eastAsia="de-DE"/>
              </w:rPr>
              <w:t>128,85 €</w:t>
            </w:r>
          </w:p>
        </w:tc>
        <w:tc>
          <w:tcPr>
            <w:tcW w:w="4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EDC96C" w14:textId="77777777" w:rsidR="008B0237" w:rsidRPr="008B0237" w:rsidRDefault="008B0237" w:rsidP="008B0237">
            <w:pPr>
              <w:numPr>
                <w:ilvl w:val="0"/>
                <w:numId w:val="7"/>
              </w:numPr>
              <w:tabs>
                <w:tab w:val="left" w:pos="708"/>
                <w:tab w:val="center" w:pos="4536"/>
                <w:tab w:val="right" w:pos="9072"/>
              </w:tabs>
              <w:spacing w:after="0" w:line="240" w:lineRule="auto"/>
              <w:jc w:val="both"/>
              <w:rPr>
                <w:rFonts w:eastAsia="Times New Roman" w:cs="Arial"/>
                <w:b/>
                <w:bCs/>
                <w:color w:val="auto"/>
                <w:sz w:val="16"/>
                <w:szCs w:val="16"/>
                <w:lang w:eastAsia="de-DE"/>
              </w:rPr>
            </w:pPr>
            <w:r w:rsidRPr="008B0237">
              <w:rPr>
                <w:rFonts w:eastAsia="Times New Roman" w:cs="Arial"/>
                <w:color w:val="auto"/>
                <w:sz w:val="16"/>
                <w:szCs w:val="20"/>
                <w:lang w:eastAsia="de-DE"/>
              </w:rPr>
              <w:t>Rheumatologie</w:t>
            </w:r>
            <w:r w:rsidRPr="008B0237">
              <w:rPr>
                <w:rFonts w:eastAsia="Times New Roman" w:cs="Arial"/>
                <w:b/>
                <w:bCs/>
                <w:color w:val="auto"/>
                <w:sz w:val="16"/>
                <w:szCs w:val="16"/>
                <w:lang w:eastAsia="de-DE"/>
              </w:rPr>
              <w:t xml:space="preserve">                                             </w:t>
            </w:r>
            <w:r w:rsidRPr="008B0237">
              <w:rPr>
                <w:rFonts w:eastAsia="Times New Roman" w:cs="Arial"/>
                <w:color w:val="auto"/>
                <w:sz w:val="16"/>
                <w:szCs w:val="20"/>
                <w:lang w:eastAsia="de-DE"/>
              </w:rPr>
              <w:t>54,20 €</w:t>
            </w:r>
          </w:p>
        </w:tc>
      </w:tr>
    </w:tbl>
    <w:p w14:paraId="51D34E8A" w14:textId="77777777" w:rsidR="008B0237" w:rsidRPr="008B0237" w:rsidRDefault="008B0237" w:rsidP="008B0237">
      <w:pPr>
        <w:tabs>
          <w:tab w:val="left" w:pos="708"/>
          <w:tab w:val="center" w:pos="4536"/>
          <w:tab w:val="right" w:pos="9072"/>
        </w:tabs>
        <w:spacing w:after="0" w:line="240" w:lineRule="auto"/>
        <w:ind w:left="-567" w:right="-568"/>
        <w:jc w:val="both"/>
        <w:rPr>
          <w:rFonts w:eastAsia="Times New Roman" w:cs="Arial"/>
          <w:bCs/>
          <w:color w:val="auto"/>
          <w:sz w:val="16"/>
          <w:szCs w:val="16"/>
          <w:lang w:eastAsia="de-DE"/>
        </w:rPr>
      </w:pPr>
      <w:r w:rsidRPr="008B0237">
        <w:rPr>
          <w:rFonts w:eastAsia="Times New Roman" w:cs="Arial"/>
          <w:color w:val="auto"/>
          <w:sz w:val="16"/>
          <w:szCs w:val="16"/>
          <w:lang w:eastAsia="de-DE"/>
        </w:rPr>
        <w:t>Gem. § 8 Abs. 2 Nr. 4 KHEntgG ist eine vorstationäre Behandlung neben einer Fallpauschale (DRG) nicht gesondert abrechenbar. Eine nachstationäre Behandlung kann zusätzlich zur Fallpauschale (DRG) berechnet werden, soweit die Summe aus den stationären Belegungstagen und den vor- und nachstationären Behandlungstagen die Grenzverweildauer der Fallpauschale (DRG) übersteigt.</w:t>
      </w:r>
    </w:p>
    <w:p w14:paraId="3278F49A"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654C8412" w14:textId="77777777" w:rsidR="008B0237" w:rsidRPr="008B0237" w:rsidRDefault="008B0237" w:rsidP="008B0237">
      <w:pPr>
        <w:spacing w:after="0" w:line="240" w:lineRule="auto"/>
        <w:ind w:left="-567" w:right="-568"/>
        <w:jc w:val="both"/>
        <w:rPr>
          <w:rFonts w:eastAsia="Times New Roman" w:cs="Arial"/>
          <w:b/>
          <w:bCs/>
          <w:color w:val="auto"/>
          <w:sz w:val="16"/>
          <w:szCs w:val="16"/>
          <w:lang w:eastAsia="de-DE"/>
        </w:rPr>
      </w:pPr>
      <w:r w:rsidRPr="008B0237">
        <w:rPr>
          <w:rFonts w:eastAsia="Times New Roman" w:cs="Arial"/>
          <w:b/>
          <w:bCs/>
          <w:color w:val="auto"/>
          <w:sz w:val="16"/>
          <w:szCs w:val="16"/>
          <w:lang w:eastAsia="de-DE"/>
        </w:rPr>
        <w:t>7. Zu- und Abschläge</w:t>
      </w:r>
    </w:p>
    <w:p w14:paraId="4373955C" w14:textId="77777777" w:rsidR="008B0237" w:rsidRPr="008B0237" w:rsidRDefault="008B0237" w:rsidP="008B0237">
      <w:pPr>
        <w:tabs>
          <w:tab w:val="left" w:pos="3899"/>
        </w:tabs>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Das Krankenhaus berechnet folgende Zu-/Abschläge:</w:t>
      </w:r>
      <w:r w:rsidRPr="008B0237">
        <w:rPr>
          <w:rFonts w:eastAsia="Times New Roman" w:cs="Arial"/>
          <w:color w:val="auto"/>
          <w:sz w:val="16"/>
          <w:szCs w:val="16"/>
          <w:lang w:eastAsia="de-DE"/>
        </w:rPr>
        <w:tab/>
      </w:r>
    </w:p>
    <w:p w14:paraId="4435B6B3" w14:textId="68B5A831"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Ausbildungszuschlag -  landesweit</w:t>
      </w:r>
      <w:r w:rsidR="0081213F">
        <w:rPr>
          <w:rFonts w:eastAsia="Times New Roman" w:cs="Arial"/>
          <w:color w:val="auto"/>
          <w:sz w:val="16"/>
          <w:szCs w:val="16"/>
          <w:lang w:eastAsia="de-DE"/>
        </w:rPr>
        <w:t xml:space="preserve"> gem. § 17 a KHG ab 01.01.2025</w:t>
      </w:r>
      <w:r w:rsidRPr="008B0237">
        <w:rPr>
          <w:rFonts w:eastAsia="Times New Roman" w:cs="Arial"/>
          <w:color w:val="auto"/>
          <w:sz w:val="16"/>
          <w:szCs w:val="16"/>
          <w:lang w:eastAsia="de-DE"/>
        </w:rPr>
        <w:t xml:space="preserve"> = </w:t>
      </w:r>
      <w:r w:rsidR="0081213F">
        <w:rPr>
          <w:rFonts w:eastAsia="Times New Roman" w:cs="Arial"/>
          <w:color w:val="FF0000"/>
          <w:sz w:val="16"/>
          <w:szCs w:val="16"/>
          <w:lang w:eastAsia="de-DE"/>
        </w:rPr>
        <w:t>52,01</w:t>
      </w:r>
      <w:r w:rsidRPr="008B0237">
        <w:rPr>
          <w:rFonts w:eastAsia="Times New Roman" w:cs="Arial"/>
          <w:color w:val="FF0000"/>
          <w:sz w:val="16"/>
          <w:szCs w:val="16"/>
          <w:lang w:eastAsia="de-DE"/>
        </w:rPr>
        <w:t xml:space="preserve"> € </w:t>
      </w:r>
      <w:r w:rsidRPr="008B0237">
        <w:rPr>
          <w:rFonts w:eastAsia="Times New Roman" w:cs="Arial"/>
          <w:color w:val="auto"/>
          <w:sz w:val="16"/>
          <w:szCs w:val="16"/>
          <w:lang w:eastAsia="de-DE"/>
        </w:rPr>
        <w:t>je voll-/teilst. Krankenhausfall</w:t>
      </w:r>
    </w:p>
    <w:p w14:paraId="5BAEC76B" w14:textId="20E842E0"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Zuschlag für die med. Mitaufnahme einer Begleitperson</w:t>
      </w:r>
      <w:r w:rsidRPr="008B0237">
        <w:rPr>
          <w:rFonts w:eastAsia="Times New Roman" w:cs="Arial"/>
          <w:color w:val="auto"/>
          <w:sz w:val="16"/>
          <w:szCs w:val="16"/>
          <w:lang w:eastAsia="de-DE"/>
        </w:rPr>
        <w:t xml:space="preserve"> gem. § 17b Abs. 1 Satz</w:t>
      </w:r>
      <w:r w:rsidR="0081213F">
        <w:rPr>
          <w:rFonts w:eastAsia="Times New Roman" w:cs="Arial"/>
          <w:color w:val="auto"/>
          <w:sz w:val="16"/>
          <w:szCs w:val="16"/>
          <w:lang w:eastAsia="de-DE"/>
        </w:rPr>
        <w:t xml:space="preserve"> 4 u. 6 KHG ab 01.01.2025 von 60</w:t>
      </w:r>
      <w:r w:rsidRPr="008B0237">
        <w:rPr>
          <w:rFonts w:eastAsia="Times New Roman" w:cs="Arial"/>
          <w:color w:val="auto"/>
          <w:sz w:val="16"/>
          <w:szCs w:val="16"/>
          <w:lang w:eastAsia="de-DE"/>
        </w:rPr>
        <w:t>,00 € pro Tag</w:t>
      </w:r>
    </w:p>
    <w:p w14:paraId="5B253E45" w14:textId="13DC5F43"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Qualitätssicherungszuschlag</w:t>
      </w:r>
      <w:r w:rsidRPr="008B0237">
        <w:rPr>
          <w:rFonts w:eastAsia="Times New Roman" w:cs="Arial"/>
          <w:color w:val="auto"/>
          <w:sz w:val="16"/>
          <w:szCs w:val="16"/>
          <w:lang w:eastAsia="de-DE"/>
        </w:rPr>
        <w:t xml:space="preserve"> gem. § 17b</w:t>
      </w:r>
      <w:r w:rsidR="0081213F">
        <w:rPr>
          <w:rFonts w:eastAsia="Times New Roman" w:cs="Arial"/>
          <w:color w:val="auto"/>
          <w:sz w:val="16"/>
          <w:szCs w:val="16"/>
          <w:lang w:eastAsia="de-DE"/>
        </w:rPr>
        <w:t xml:space="preserve"> Abs. 1 Satz 5 KHG ab 01.01.2025</w:t>
      </w:r>
      <w:r w:rsidRPr="008B0237">
        <w:rPr>
          <w:rFonts w:eastAsia="Times New Roman" w:cs="Arial"/>
          <w:color w:val="auto"/>
          <w:sz w:val="16"/>
          <w:szCs w:val="16"/>
          <w:lang w:eastAsia="de-DE"/>
        </w:rPr>
        <w:t xml:space="preserve"> von</w:t>
      </w:r>
      <w:r w:rsidRPr="008B0237">
        <w:rPr>
          <w:rFonts w:eastAsia="Times New Roman" w:cs="Arial"/>
          <w:b/>
          <w:color w:val="auto"/>
          <w:sz w:val="16"/>
          <w:szCs w:val="16"/>
          <w:lang w:eastAsia="de-DE"/>
        </w:rPr>
        <w:t xml:space="preserve"> </w:t>
      </w:r>
      <w:r w:rsidR="0081213F">
        <w:rPr>
          <w:rFonts w:eastAsia="Times New Roman" w:cs="Arial"/>
          <w:color w:val="FF0000"/>
          <w:sz w:val="16"/>
          <w:szCs w:val="16"/>
          <w:lang w:eastAsia="de-DE"/>
        </w:rPr>
        <w:t>0,86</w:t>
      </w:r>
      <w:r w:rsidRPr="008B0237">
        <w:rPr>
          <w:rFonts w:eastAsia="Times New Roman" w:cs="Arial"/>
          <w:color w:val="FF0000"/>
          <w:sz w:val="16"/>
          <w:szCs w:val="16"/>
          <w:lang w:eastAsia="de-DE"/>
        </w:rPr>
        <w:t xml:space="preserve"> € </w:t>
      </w:r>
      <w:r w:rsidRPr="008B0237">
        <w:rPr>
          <w:rFonts w:eastAsia="Times New Roman" w:cs="Arial"/>
          <w:color w:val="auto"/>
          <w:sz w:val="16"/>
          <w:szCs w:val="16"/>
          <w:lang w:eastAsia="de-DE"/>
        </w:rPr>
        <w:t>je Fall</w:t>
      </w:r>
    </w:p>
    <w:p w14:paraId="3ED2B435" w14:textId="70CE17A7"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 xml:space="preserve">DRG-Systemzuschlag </w:t>
      </w:r>
      <w:r w:rsidRPr="008B0237">
        <w:rPr>
          <w:rFonts w:eastAsia="Times New Roman" w:cs="Arial"/>
          <w:color w:val="auto"/>
          <w:sz w:val="16"/>
          <w:szCs w:val="16"/>
          <w:lang w:eastAsia="de-DE"/>
        </w:rPr>
        <w:t xml:space="preserve">gem. </w:t>
      </w:r>
      <w:r w:rsidRPr="008B0237">
        <w:rPr>
          <w:rFonts w:eastAsia="Times New Roman" w:cs="Arial"/>
          <w:bCs/>
          <w:color w:val="auto"/>
          <w:sz w:val="16"/>
          <w:szCs w:val="16"/>
          <w:lang w:eastAsia="de-DE"/>
        </w:rPr>
        <w:t xml:space="preserve">§ </w:t>
      </w:r>
      <w:r w:rsidRPr="008B0237">
        <w:rPr>
          <w:rFonts w:eastAsia="Times New Roman" w:cs="Arial"/>
          <w:color w:val="auto"/>
          <w:sz w:val="16"/>
          <w:szCs w:val="16"/>
          <w:lang w:eastAsia="de-DE"/>
        </w:rPr>
        <w:t>17b Abs. 5 KHG</w:t>
      </w:r>
      <w:r w:rsidRPr="008B0237">
        <w:rPr>
          <w:rFonts w:eastAsia="Times New Roman" w:cs="Arial"/>
          <w:b/>
          <w:bCs/>
          <w:color w:val="auto"/>
          <w:sz w:val="16"/>
          <w:szCs w:val="16"/>
          <w:lang w:eastAsia="de-DE"/>
        </w:rPr>
        <w:t xml:space="preserve"> </w:t>
      </w:r>
      <w:r w:rsidR="0081213F">
        <w:rPr>
          <w:rFonts w:eastAsia="Times New Roman" w:cs="Arial"/>
          <w:color w:val="auto"/>
          <w:sz w:val="16"/>
          <w:szCs w:val="16"/>
          <w:lang w:eastAsia="de-DE"/>
        </w:rPr>
        <w:t>in Höhe ab 01.01.2025</w:t>
      </w:r>
      <w:r w:rsidRPr="008B0237">
        <w:rPr>
          <w:rFonts w:eastAsia="Times New Roman" w:cs="Arial"/>
          <w:color w:val="auto"/>
          <w:sz w:val="16"/>
          <w:szCs w:val="16"/>
          <w:lang w:eastAsia="de-DE"/>
        </w:rPr>
        <w:t xml:space="preserve"> von </w:t>
      </w:r>
      <w:r w:rsidR="0081213F">
        <w:rPr>
          <w:rFonts w:eastAsia="Times New Roman" w:cs="Arial"/>
          <w:color w:val="FF0000"/>
          <w:sz w:val="16"/>
          <w:szCs w:val="16"/>
          <w:lang w:eastAsia="de-DE"/>
        </w:rPr>
        <w:t>1,73</w:t>
      </w:r>
      <w:r w:rsidRPr="008B0237">
        <w:rPr>
          <w:rFonts w:eastAsia="Times New Roman" w:cs="Arial"/>
          <w:color w:val="FF0000"/>
          <w:sz w:val="16"/>
          <w:szCs w:val="16"/>
          <w:lang w:eastAsia="de-DE"/>
        </w:rPr>
        <w:t xml:space="preserve"> €</w:t>
      </w:r>
      <w:r w:rsidRPr="008B0237">
        <w:rPr>
          <w:rFonts w:eastAsia="Times New Roman" w:cs="Arial"/>
          <w:b/>
          <w:color w:val="FF0000"/>
          <w:sz w:val="16"/>
          <w:szCs w:val="16"/>
          <w:lang w:eastAsia="de-DE"/>
        </w:rPr>
        <w:t xml:space="preserve"> </w:t>
      </w:r>
      <w:r w:rsidRPr="008B0237">
        <w:rPr>
          <w:rFonts w:eastAsia="Times New Roman" w:cs="Arial"/>
          <w:color w:val="auto"/>
          <w:sz w:val="16"/>
          <w:szCs w:val="16"/>
          <w:lang w:eastAsia="de-DE"/>
        </w:rPr>
        <w:t>je voll-/teilst. Krankenhausfall</w:t>
      </w:r>
    </w:p>
    <w:p w14:paraId="3458389C" w14:textId="466BC17A"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 xml:space="preserve">G-BA-Systemzuschlag </w:t>
      </w:r>
      <w:r w:rsidRPr="008B0237">
        <w:rPr>
          <w:rFonts w:eastAsia="Times New Roman" w:cs="Arial"/>
          <w:color w:val="auto"/>
          <w:sz w:val="16"/>
          <w:szCs w:val="16"/>
          <w:lang w:eastAsia="de-DE"/>
        </w:rPr>
        <w:t>gem. § 91 SGB V i.V. §</w:t>
      </w:r>
      <w:r w:rsidR="00007889">
        <w:rPr>
          <w:rFonts w:eastAsia="Times New Roman" w:cs="Arial"/>
          <w:color w:val="auto"/>
          <w:sz w:val="16"/>
          <w:szCs w:val="16"/>
          <w:lang w:eastAsia="de-DE"/>
        </w:rPr>
        <w:t xml:space="preserve"> 139c Abs. 1 SGB V ab 01.01.2025</w:t>
      </w:r>
      <w:r w:rsidRPr="008B0237">
        <w:rPr>
          <w:rFonts w:eastAsia="Times New Roman" w:cs="Arial"/>
          <w:color w:val="auto"/>
          <w:sz w:val="16"/>
          <w:szCs w:val="16"/>
          <w:lang w:eastAsia="de-DE"/>
        </w:rPr>
        <w:t xml:space="preserve"> in Höhe von </w:t>
      </w:r>
      <w:r w:rsidR="00007889">
        <w:rPr>
          <w:rFonts w:eastAsia="Times New Roman" w:cs="Arial"/>
          <w:color w:val="FF0000"/>
          <w:sz w:val="16"/>
          <w:szCs w:val="16"/>
          <w:lang w:eastAsia="de-DE"/>
        </w:rPr>
        <w:t>3,17</w:t>
      </w:r>
      <w:r w:rsidRPr="008B0237">
        <w:rPr>
          <w:rFonts w:eastAsia="Times New Roman" w:cs="Arial"/>
          <w:color w:val="FF0000"/>
          <w:sz w:val="16"/>
          <w:szCs w:val="16"/>
          <w:lang w:eastAsia="de-DE"/>
        </w:rPr>
        <w:t xml:space="preserve"> € </w:t>
      </w:r>
      <w:r w:rsidRPr="008B0237">
        <w:rPr>
          <w:rFonts w:eastAsia="Times New Roman" w:cs="Arial"/>
          <w:color w:val="auto"/>
          <w:sz w:val="16"/>
          <w:szCs w:val="16"/>
          <w:lang w:eastAsia="de-DE"/>
        </w:rPr>
        <w:t>je voll-/teilst. Krankenhausfall</w:t>
      </w:r>
    </w:p>
    <w:p w14:paraId="37808CF8" w14:textId="2C5BD08F" w:rsidR="008B0237" w:rsidRPr="008B0237" w:rsidRDefault="008B0237" w:rsidP="008B0237">
      <w:pPr>
        <w:numPr>
          <w:ilvl w:val="0"/>
          <w:numId w:val="4"/>
        </w:numPr>
        <w:spacing w:after="0" w:line="240" w:lineRule="auto"/>
        <w:ind w:right="-568"/>
        <w:jc w:val="both"/>
        <w:rPr>
          <w:rFonts w:eastAsia="Times New Roman" w:cs="Arial"/>
          <w:color w:val="auto"/>
          <w:sz w:val="16"/>
          <w:szCs w:val="16"/>
          <w:lang w:eastAsia="de-DE"/>
        </w:rPr>
      </w:pPr>
      <w:r w:rsidRPr="008B0237">
        <w:rPr>
          <w:rFonts w:eastAsia="Times New Roman" w:cs="Arial"/>
          <w:color w:val="auto"/>
          <w:sz w:val="16"/>
          <w:szCs w:val="16"/>
          <w:u w:val="single"/>
          <w:lang w:eastAsia="de-DE"/>
        </w:rPr>
        <w:t>Hygienezuschlag</w:t>
      </w:r>
      <w:r w:rsidR="00AC4CE8">
        <w:rPr>
          <w:rFonts w:eastAsia="Times New Roman" w:cs="Arial"/>
          <w:color w:val="auto"/>
          <w:sz w:val="16"/>
          <w:szCs w:val="16"/>
          <w:u w:val="single"/>
          <w:lang w:eastAsia="de-DE"/>
        </w:rPr>
        <w:t xml:space="preserve"> </w:t>
      </w:r>
      <w:r w:rsidR="00B307FE">
        <w:rPr>
          <w:rFonts w:eastAsia="Times New Roman" w:cs="Arial"/>
          <w:color w:val="auto"/>
          <w:sz w:val="16"/>
          <w:szCs w:val="16"/>
          <w:u w:val="single"/>
          <w:lang w:eastAsia="de-DE"/>
        </w:rPr>
        <w:t>-</w:t>
      </w:r>
      <w:r w:rsidR="00AC4CE8">
        <w:rPr>
          <w:rFonts w:eastAsia="Times New Roman" w:cs="Arial"/>
          <w:color w:val="auto"/>
          <w:sz w:val="16"/>
          <w:szCs w:val="16"/>
          <w:u w:val="single"/>
          <w:lang w:eastAsia="de-DE"/>
        </w:rPr>
        <w:t xml:space="preserve"> Infektionsförderprogramm</w:t>
      </w:r>
      <w:r w:rsidRPr="008B0237">
        <w:rPr>
          <w:rFonts w:eastAsia="Times New Roman" w:cs="Arial"/>
          <w:color w:val="auto"/>
          <w:sz w:val="16"/>
          <w:szCs w:val="16"/>
          <w:lang w:eastAsia="de-DE"/>
        </w:rPr>
        <w:t xml:space="preserve"> </w:t>
      </w:r>
      <w:r w:rsidR="00136929">
        <w:rPr>
          <w:rFonts w:eastAsia="Times New Roman" w:cs="Arial"/>
          <w:color w:val="auto"/>
          <w:sz w:val="16"/>
          <w:szCs w:val="16"/>
          <w:lang w:eastAsia="de-DE"/>
        </w:rPr>
        <w:t>gem. § 4 Abs. 9 KHEntgG ab 01.</w:t>
      </w:r>
      <w:r w:rsidR="00AC4CE8">
        <w:rPr>
          <w:rFonts w:eastAsia="Times New Roman" w:cs="Arial"/>
          <w:color w:val="auto"/>
          <w:sz w:val="16"/>
          <w:szCs w:val="16"/>
          <w:lang w:eastAsia="de-DE"/>
        </w:rPr>
        <w:t>10</w:t>
      </w:r>
      <w:r w:rsidR="00136929">
        <w:rPr>
          <w:rFonts w:eastAsia="Times New Roman" w:cs="Arial"/>
          <w:color w:val="auto"/>
          <w:sz w:val="16"/>
          <w:szCs w:val="16"/>
          <w:lang w:eastAsia="de-DE"/>
        </w:rPr>
        <w:t>.2025</w:t>
      </w:r>
      <w:r w:rsidRPr="008B0237">
        <w:rPr>
          <w:rFonts w:eastAsia="Times New Roman" w:cs="Arial"/>
          <w:color w:val="auto"/>
          <w:sz w:val="16"/>
          <w:szCs w:val="16"/>
          <w:lang w:eastAsia="de-DE"/>
        </w:rPr>
        <w:t xml:space="preserve"> = </w:t>
      </w:r>
      <w:r w:rsidR="00AC4CE8">
        <w:rPr>
          <w:rFonts w:eastAsia="Times New Roman" w:cs="Arial"/>
          <w:color w:val="FF0000"/>
          <w:sz w:val="16"/>
          <w:szCs w:val="16"/>
          <w:lang w:eastAsia="de-DE"/>
        </w:rPr>
        <w:t>1,19</w:t>
      </w:r>
      <w:r w:rsidRPr="008B0237">
        <w:rPr>
          <w:rFonts w:eastAsia="Times New Roman" w:cs="Arial"/>
          <w:color w:val="FF0000"/>
          <w:sz w:val="16"/>
          <w:szCs w:val="16"/>
          <w:lang w:eastAsia="de-DE"/>
        </w:rPr>
        <w:t xml:space="preserve"> %</w:t>
      </w:r>
      <w:r w:rsidRPr="008B0237">
        <w:rPr>
          <w:rFonts w:eastAsia="Times New Roman" w:cs="Arial"/>
          <w:color w:val="auto"/>
          <w:sz w:val="16"/>
          <w:szCs w:val="16"/>
          <w:lang w:eastAsia="de-DE"/>
        </w:rPr>
        <w:t xml:space="preserve"> auf die abgerechnete Höhe der DRG-Fallpauschalen (incl. der Zu- und Abschläge gem. § 1</w:t>
      </w:r>
      <w:r w:rsidR="00C96648">
        <w:rPr>
          <w:rFonts w:eastAsia="Times New Roman" w:cs="Arial"/>
          <w:color w:val="auto"/>
          <w:sz w:val="16"/>
          <w:szCs w:val="16"/>
          <w:lang w:eastAsia="de-DE"/>
        </w:rPr>
        <w:t xml:space="preserve"> und § 3 FPV 2025</w:t>
      </w:r>
      <w:r w:rsidRPr="008B0237">
        <w:rPr>
          <w:rFonts w:eastAsia="Times New Roman" w:cs="Arial"/>
          <w:color w:val="auto"/>
          <w:sz w:val="16"/>
          <w:szCs w:val="16"/>
          <w:lang w:eastAsia="de-DE"/>
        </w:rPr>
        <w:t>) und die Zusatzentgelte sowie auf die sonstigen Entgelte nach § 6 Abs. 1 Satz 1 und Abs. 2a KHEntgG</w:t>
      </w:r>
    </w:p>
    <w:p w14:paraId="59ACC6D5" w14:textId="2C846E8C" w:rsidR="008B0237" w:rsidRDefault="008B0237" w:rsidP="008B0237">
      <w:pPr>
        <w:numPr>
          <w:ilvl w:val="0"/>
          <w:numId w:val="4"/>
        </w:numPr>
        <w:spacing w:after="0" w:line="240" w:lineRule="auto"/>
        <w:contextualSpacing/>
        <w:jc w:val="both"/>
        <w:rPr>
          <w:rFonts w:eastAsia="Times New Roman" w:cs="Arial"/>
          <w:noProof/>
          <w:color w:val="auto"/>
          <w:sz w:val="16"/>
          <w:szCs w:val="16"/>
          <w:lang w:eastAsia="de-DE"/>
        </w:rPr>
      </w:pPr>
      <w:r w:rsidRPr="008B0237">
        <w:rPr>
          <w:rFonts w:eastAsia="Times New Roman" w:cs="Arial"/>
          <w:noProof/>
          <w:color w:val="auto"/>
          <w:sz w:val="16"/>
          <w:szCs w:val="16"/>
          <w:u w:val="single"/>
          <w:lang w:eastAsia="de-DE"/>
        </w:rPr>
        <w:t>Ausbildungszuschlag gem. § 33 PflBG</w:t>
      </w:r>
      <w:r w:rsidR="00C96648">
        <w:rPr>
          <w:rFonts w:eastAsia="Times New Roman" w:cs="Arial"/>
          <w:noProof/>
          <w:color w:val="auto"/>
          <w:sz w:val="16"/>
          <w:szCs w:val="16"/>
          <w:lang w:eastAsia="de-DE"/>
        </w:rPr>
        <w:t xml:space="preserve"> für Aufnahmen ab 01.01.2025</w:t>
      </w:r>
      <w:r w:rsidRPr="008B0237">
        <w:rPr>
          <w:rFonts w:eastAsia="Times New Roman" w:cs="Arial"/>
          <w:noProof/>
          <w:color w:val="auto"/>
          <w:sz w:val="16"/>
          <w:szCs w:val="16"/>
          <w:lang w:eastAsia="de-DE"/>
        </w:rPr>
        <w:t xml:space="preserve"> in Höhe von </w:t>
      </w:r>
      <w:r w:rsidR="00A866CC">
        <w:rPr>
          <w:rFonts w:eastAsia="Times New Roman" w:cs="Arial"/>
          <w:noProof/>
          <w:color w:val="FF0000"/>
          <w:sz w:val="16"/>
          <w:szCs w:val="16"/>
          <w:lang w:eastAsia="de-DE"/>
        </w:rPr>
        <w:t>126,76</w:t>
      </w:r>
      <w:r w:rsidRPr="008B0237">
        <w:rPr>
          <w:rFonts w:eastAsia="Times New Roman" w:cs="Arial"/>
          <w:noProof/>
          <w:color w:val="FF0000"/>
          <w:sz w:val="16"/>
          <w:szCs w:val="16"/>
          <w:lang w:eastAsia="de-DE"/>
        </w:rPr>
        <w:t xml:space="preserve"> €  </w:t>
      </w:r>
      <w:r w:rsidRPr="008B0237">
        <w:rPr>
          <w:rFonts w:eastAsia="Times New Roman" w:cs="Arial"/>
          <w:noProof/>
          <w:color w:val="auto"/>
          <w:sz w:val="16"/>
          <w:szCs w:val="16"/>
          <w:lang w:eastAsia="de-DE"/>
        </w:rPr>
        <w:t>je voll-/teilstationären Krankenhausfall</w:t>
      </w:r>
    </w:p>
    <w:p w14:paraId="6397FB8F" w14:textId="1D7234A8" w:rsidR="009B18C2" w:rsidRPr="003B0A22" w:rsidRDefault="003B0A22" w:rsidP="003B0A22">
      <w:pPr>
        <w:pStyle w:val="Sprechblasentext2"/>
        <w:numPr>
          <w:ilvl w:val="0"/>
          <w:numId w:val="4"/>
        </w:numPr>
        <w:ind w:right="-568"/>
        <w:jc w:val="both"/>
        <w:rPr>
          <w:rFonts w:ascii="Arial" w:hAnsi="Arial" w:cs="Arial"/>
        </w:rPr>
      </w:pPr>
      <w:r>
        <w:rPr>
          <w:rFonts w:ascii="Arial" w:hAnsi="Arial" w:cs="Arial"/>
          <w:u w:val="single"/>
        </w:rPr>
        <w:t>Zuschlag für Erlösausgleiche</w:t>
      </w:r>
      <w:r>
        <w:rPr>
          <w:rFonts w:ascii="Arial" w:hAnsi="Arial" w:cs="Arial"/>
        </w:rPr>
        <w:t xml:space="preserve"> gemäß </w:t>
      </w:r>
      <w:r>
        <w:rPr>
          <w:rFonts w:ascii="Arial" w:hAnsi="Arial" w:cs="Arial"/>
        </w:rPr>
        <w:t>§ 5 Abs. 4 KHEntgG ab 01.10.2025 bis zum 31.12.2025</w:t>
      </w:r>
      <w:r>
        <w:rPr>
          <w:rFonts w:ascii="Arial" w:hAnsi="Arial" w:cs="Arial"/>
        </w:rPr>
        <w:t xml:space="preserve"> in Höhe von </w:t>
      </w:r>
      <w:r>
        <w:rPr>
          <w:rFonts w:ascii="Arial" w:hAnsi="Arial" w:cs="Arial"/>
          <w:color w:val="FF0000"/>
        </w:rPr>
        <w:t>5,56</w:t>
      </w:r>
      <w:r>
        <w:rPr>
          <w:rFonts w:ascii="Arial" w:hAnsi="Arial" w:cs="Arial"/>
          <w:color w:val="FF0000"/>
        </w:rPr>
        <w:t xml:space="preserve"> %</w:t>
      </w:r>
      <w:r>
        <w:rPr>
          <w:rFonts w:ascii="Arial" w:hAnsi="Arial" w:cs="Arial"/>
        </w:rPr>
        <w:t xml:space="preserve"> auf die abgerechnete Höhe der DRG-Fallpauschalen und die Zusatzentgelte sowie auf die sonstigen Entgelte nach § 6 Abs. 1 Satz 1 und Abs. 2a KHEntgG.</w:t>
      </w:r>
    </w:p>
    <w:p w14:paraId="5454B0D2" w14:textId="1E45CE6A" w:rsid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Die Zu- und Abschläge sind nicht abschließend festgelegt</w:t>
      </w:r>
    </w:p>
    <w:p w14:paraId="50104127" w14:textId="2CAC2316" w:rsidR="008B0237" w:rsidRPr="00107FCA" w:rsidRDefault="008B0237" w:rsidP="008B0237">
      <w:pPr>
        <w:spacing w:after="0" w:line="240" w:lineRule="auto"/>
        <w:ind w:left="-567" w:right="-568"/>
        <w:jc w:val="both"/>
        <w:rPr>
          <w:rFonts w:eastAsia="Times New Roman" w:cs="Arial"/>
          <w:b/>
          <w:bCs/>
          <w:noProof/>
          <w:color w:val="auto"/>
          <w:sz w:val="8"/>
          <w:szCs w:val="8"/>
          <w:lang w:eastAsia="de-DE"/>
        </w:rPr>
      </w:pPr>
    </w:p>
    <w:p w14:paraId="1AA05F58" w14:textId="77777777" w:rsidR="008B0237" w:rsidRPr="008B0237" w:rsidRDefault="008B0237" w:rsidP="008B0237">
      <w:pPr>
        <w:spacing w:after="0" w:line="240" w:lineRule="auto"/>
        <w:ind w:left="-567" w:right="-568"/>
        <w:jc w:val="both"/>
        <w:rPr>
          <w:rFonts w:eastAsia="Times New Roman" w:cs="Arial"/>
          <w:b/>
          <w:bCs/>
          <w:noProof/>
          <w:color w:val="auto"/>
          <w:sz w:val="16"/>
          <w:szCs w:val="16"/>
          <w:lang w:eastAsia="de-DE"/>
        </w:rPr>
      </w:pPr>
      <w:r w:rsidRPr="008B0237">
        <w:rPr>
          <w:rFonts w:eastAsia="Times New Roman" w:cs="Arial"/>
          <w:b/>
          <w:bCs/>
          <w:noProof/>
          <w:color w:val="auto"/>
          <w:sz w:val="16"/>
          <w:szCs w:val="16"/>
          <w:lang w:eastAsia="de-DE"/>
        </w:rPr>
        <w:t>7.a  Zusatzentgelte für Testung auf Infektion mit dem Coronavirus SARS-CoV-2 gemäß der Vereinbarung nach § 26 Abs. 2 KHG</w:t>
      </w:r>
    </w:p>
    <w:p w14:paraId="15767535" w14:textId="1F795CC4" w:rsidR="008B0237" w:rsidRDefault="008B0237" w:rsidP="008B0237">
      <w:pPr>
        <w:spacing w:after="0" w:line="240" w:lineRule="auto"/>
        <w:ind w:left="-567" w:right="-568"/>
        <w:jc w:val="both"/>
        <w:rPr>
          <w:rFonts w:eastAsia="Times New Roman" w:cs="Arial"/>
          <w:bCs/>
          <w:noProof/>
          <w:color w:val="auto"/>
          <w:sz w:val="16"/>
          <w:szCs w:val="16"/>
          <w:lang w:eastAsia="de-DE"/>
        </w:rPr>
      </w:pPr>
      <w:r w:rsidRPr="008B0237">
        <w:rPr>
          <w:rFonts w:eastAsia="Times New Roman" w:cs="Arial"/>
          <w:bCs/>
          <w:noProof/>
          <w:color w:val="auto"/>
          <w:sz w:val="16"/>
          <w:szCs w:val="16"/>
          <w:lang w:eastAsia="de-DE"/>
        </w:rPr>
        <w:t>Für Kosten, die dem Krankenhaus für Testungen von Patientinnen und Patienten, die zur voll- oder teilstationären Krankenhausbehandlung in das Krankenhaus aufgenommen wurden, auf eine Infektion mit dem Coronavirus SARS-CoV-2 entstehen, rechnet das Krankenhaus auf Grund der Vereinbarung nach § 26 Abs. 2 KHG gesondert folgende Zusatzentgelte ab:</w:t>
      </w:r>
    </w:p>
    <w:p w14:paraId="0DE87C5C" w14:textId="77777777" w:rsidR="000564EC" w:rsidRPr="00107FCA" w:rsidRDefault="000564EC" w:rsidP="008B0237">
      <w:pPr>
        <w:spacing w:after="0" w:line="240" w:lineRule="auto"/>
        <w:ind w:left="-567" w:right="-568"/>
        <w:jc w:val="both"/>
        <w:rPr>
          <w:rFonts w:eastAsia="Times New Roman" w:cs="Arial"/>
          <w:bCs/>
          <w:noProof/>
          <w:color w:val="auto"/>
          <w:sz w:val="8"/>
          <w:szCs w:val="8"/>
          <w:lang w:eastAsia="de-DE"/>
        </w:rPr>
      </w:pPr>
    </w:p>
    <w:p w14:paraId="7C7B3B9B" w14:textId="09E80D99" w:rsidR="008B0237" w:rsidRPr="008B0237" w:rsidRDefault="00722A20" w:rsidP="008B0237">
      <w:pPr>
        <w:numPr>
          <w:ilvl w:val="0"/>
          <w:numId w:val="9"/>
        </w:numPr>
        <w:spacing w:after="0" w:line="240" w:lineRule="auto"/>
        <w:ind w:right="-568"/>
        <w:jc w:val="both"/>
        <w:rPr>
          <w:rFonts w:eastAsia="Times New Roman" w:cs="Arial"/>
          <w:bCs/>
          <w:noProof/>
          <w:color w:val="auto"/>
          <w:sz w:val="16"/>
          <w:szCs w:val="16"/>
          <w:lang w:eastAsia="de-DE"/>
        </w:rPr>
      </w:pPr>
      <w:r>
        <w:rPr>
          <w:rFonts w:eastAsia="Times New Roman" w:cs="Arial"/>
          <w:bCs/>
          <w:noProof/>
          <w:color w:val="auto"/>
          <w:sz w:val="16"/>
          <w:szCs w:val="16"/>
          <w:lang w:eastAsia="de-DE"/>
        </w:rPr>
        <w:t xml:space="preserve">PCR-Test ab dem 01.05.2023 = </w:t>
      </w:r>
      <w:r w:rsidR="008B0237" w:rsidRPr="008B0237">
        <w:rPr>
          <w:rFonts w:eastAsia="Times New Roman" w:cs="Arial"/>
          <w:bCs/>
          <w:noProof/>
          <w:color w:val="auto"/>
          <w:sz w:val="16"/>
          <w:szCs w:val="16"/>
          <w:lang w:eastAsia="de-DE"/>
        </w:rPr>
        <w:t>30,40 €</w:t>
      </w:r>
    </w:p>
    <w:p w14:paraId="1EAAA2D8" w14:textId="77777777" w:rsidR="008B0237" w:rsidRPr="008B0237" w:rsidRDefault="008B0237" w:rsidP="008B0237">
      <w:pPr>
        <w:numPr>
          <w:ilvl w:val="0"/>
          <w:numId w:val="9"/>
        </w:numPr>
        <w:spacing w:after="0" w:line="240" w:lineRule="auto"/>
        <w:ind w:right="-568"/>
        <w:jc w:val="both"/>
        <w:rPr>
          <w:rFonts w:eastAsia="Times New Roman" w:cs="Arial"/>
          <w:b/>
          <w:color w:val="auto"/>
          <w:sz w:val="16"/>
          <w:szCs w:val="16"/>
          <w:lang w:eastAsia="de-DE"/>
        </w:rPr>
      </w:pPr>
      <w:r w:rsidRPr="008B0237">
        <w:rPr>
          <w:rFonts w:eastAsia="Times New Roman" w:cs="Arial"/>
          <w:bCs/>
          <w:noProof/>
          <w:color w:val="auto"/>
          <w:sz w:val="16"/>
          <w:szCs w:val="16"/>
          <w:lang w:eastAsia="de-DE"/>
        </w:rPr>
        <w:lastRenderedPageBreak/>
        <w:t xml:space="preserve">PoC Antigen-Test (Schnelltest) ab dem 01.08.2021 = 11,50 € </w:t>
      </w:r>
    </w:p>
    <w:p w14:paraId="133603ED" w14:textId="77777777" w:rsidR="008B0237" w:rsidRPr="00107FCA" w:rsidRDefault="008B0237" w:rsidP="008B0237">
      <w:pPr>
        <w:spacing w:after="0" w:line="240" w:lineRule="auto"/>
        <w:ind w:left="-567" w:right="-568"/>
        <w:jc w:val="both"/>
        <w:rPr>
          <w:rFonts w:eastAsia="Times New Roman" w:cs="Arial"/>
          <w:b/>
          <w:noProof/>
          <w:color w:val="auto"/>
          <w:sz w:val="8"/>
          <w:szCs w:val="8"/>
          <w:lang w:eastAsia="de-DE"/>
        </w:rPr>
      </w:pPr>
    </w:p>
    <w:p w14:paraId="0FDCBE1C" w14:textId="77777777" w:rsidR="008B0237" w:rsidRPr="008B0237" w:rsidRDefault="008B0237" w:rsidP="008B0237">
      <w:pPr>
        <w:spacing w:after="0" w:line="240" w:lineRule="auto"/>
        <w:ind w:left="-567" w:right="-568"/>
        <w:jc w:val="both"/>
        <w:rPr>
          <w:rFonts w:eastAsia="Times New Roman" w:cs="Arial"/>
          <w:b/>
          <w:noProof/>
          <w:color w:val="auto"/>
          <w:sz w:val="16"/>
          <w:szCs w:val="16"/>
          <w:lang w:eastAsia="de-DE"/>
        </w:rPr>
      </w:pPr>
      <w:r w:rsidRPr="008B0237">
        <w:rPr>
          <w:rFonts w:eastAsia="Times New Roman" w:cs="Arial"/>
          <w:b/>
          <w:noProof/>
          <w:color w:val="auto"/>
          <w:sz w:val="16"/>
          <w:szCs w:val="16"/>
          <w:lang w:eastAsia="de-DE"/>
        </w:rPr>
        <w:t xml:space="preserve">8. </w:t>
      </w:r>
      <w:r w:rsidRPr="008B0237">
        <w:rPr>
          <w:rFonts w:eastAsia="Times New Roman" w:cs="Arial"/>
          <w:b/>
          <w:noProof/>
          <w:color w:val="auto"/>
          <w:sz w:val="16"/>
          <w:szCs w:val="16"/>
          <w:lang w:eastAsia="de-DE"/>
        </w:rPr>
        <w:tab/>
        <w:t xml:space="preserve">Tagesbezogene Pflegeentgelte zur Abzahlung des Pflegebudgets nach § 7 Abs. 1 Ziff. 6a  KHEntgG </w:t>
      </w:r>
    </w:p>
    <w:p w14:paraId="2275E475" w14:textId="77777777" w:rsidR="008B0237" w:rsidRPr="008B0237" w:rsidRDefault="008B0237" w:rsidP="008B0237">
      <w:pPr>
        <w:spacing w:after="0" w:line="240" w:lineRule="auto"/>
        <w:ind w:left="-567" w:right="-568"/>
        <w:jc w:val="both"/>
        <w:rPr>
          <w:rFonts w:ascii="Tahoma" w:eastAsia="Times New Roman" w:hAnsi="Tahoma" w:cs="Tahoma"/>
          <w:color w:val="auto"/>
          <w:sz w:val="16"/>
          <w:szCs w:val="16"/>
          <w:lang w:eastAsia="de-DE"/>
        </w:rPr>
      </w:pPr>
      <w:r w:rsidRPr="008B0237">
        <w:rPr>
          <w:rFonts w:ascii="Tahoma" w:eastAsia="Times New Roman" w:hAnsi="Tahoma" w:cs="Tahoma"/>
          <w:color w:val="auto"/>
          <w:sz w:val="16"/>
          <w:szCs w:val="16"/>
          <w:lang w:eastAsia="de-DE"/>
        </w:rPr>
        <w:t xml:space="preserve">Das Krankenhaus hat mit den Krankenkassen ein Pflegebudget zur Finanzierung der Pflegepersonalkosten, die dem Krankenhaus entstehen, vereinbart. Die Abzahlung des Pflegebudgets erfolgt nach § 6a Abs. 4 KHEntgG über einen krankenhausindividuellen Pflegeentgeltwert, welcher berechnet wird, indem das vereinbarte Pflegebudget dividiert wird durch die nach dem Pflegeerlöskatalog nach § 17b Abs. 4 S. 5 KHG ermittelte voraussichtliche Summe der Bewertungsrelationen für das Vereinbarungsjahr. </w:t>
      </w:r>
    </w:p>
    <w:p w14:paraId="1FCA1D65" w14:textId="129A5908" w:rsidR="008B0237" w:rsidRPr="008B0237" w:rsidRDefault="008B0237" w:rsidP="008B0237">
      <w:pPr>
        <w:spacing w:after="0" w:line="240" w:lineRule="auto"/>
        <w:ind w:left="-567" w:right="-568"/>
        <w:jc w:val="both"/>
        <w:rPr>
          <w:rFonts w:ascii="Tahoma" w:eastAsia="Times New Roman" w:hAnsi="Tahoma" w:cs="Tahoma"/>
          <w:color w:val="auto"/>
          <w:sz w:val="16"/>
          <w:szCs w:val="16"/>
          <w:lang w:eastAsia="de-DE"/>
        </w:rPr>
      </w:pPr>
      <w:r w:rsidRPr="008B0237">
        <w:rPr>
          <w:rFonts w:eastAsia="Times New Roman" w:cs="Arial"/>
          <w:color w:val="auto"/>
          <w:sz w:val="16"/>
          <w:szCs w:val="16"/>
          <w:lang w:eastAsia="de-DE"/>
        </w:rPr>
        <w:t>Es wurde ein Pflegeen</w:t>
      </w:r>
      <w:r w:rsidR="00FF26A7">
        <w:rPr>
          <w:rFonts w:eastAsia="Times New Roman" w:cs="Arial"/>
          <w:color w:val="auto"/>
          <w:sz w:val="16"/>
          <w:szCs w:val="16"/>
          <w:lang w:eastAsia="de-DE"/>
        </w:rPr>
        <w:t>tgeltwert ab 01.10</w:t>
      </w:r>
      <w:r w:rsidR="008B7CCF">
        <w:rPr>
          <w:rFonts w:eastAsia="Times New Roman" w:cs="Arial"/>
          <w:color w:val="auto"/>
          <w:sz w:val="16"/>
          <w:szCs w:val="16"/>
          <w:lang w:eastAsia="de-DE"/>
        </w:rPr>
        <w:t>.2025</w:t>
      </w:r>
      <w:r w:rsidRPr="008B0237">
        <w:rPr>
          <w:rFonts w:eastAsia="Times New Roman" w:cs="Arial"/>
          <w:color w:val="auto"/>
          <w:sz w:val="16"/>
          <w:szCs w:val="16"/>
          <w:lang w:eastAsia="de-DE"/>
        </w:rPr>
        <w:t xml:space="preserve"> in Höhe von </w:t>
      </w:r>
      <w:r w:rsidR="00FF26A7">
        <w:rPr>
          <w:rFonts w:eastAsia="Times New Roman" w:cs="Arial"/>
          <w:b/>
          <w:color w:val="FF0000"/>
          <w:sz w:val="16"/>
          <w:szCs w:val="16"/>
          <w:lang w:eastAsia="de-DE"/>
        </w:rPr>
        <w:t>627,25</w:t>
      </w:r>
      <w:r w:rsidRPr="008B0237">
        <w:rPr>
          <w:rFonts w:eastAsia="Times New Roman" w:cs="Arial"/>
          <w:b/>
          <w:color w:val="FF0000"/>
          <w:sz w:val="16"/>
          <w:szCs w:val="16"/>
          <w:lang w:eastAsia="de-DE"/>
        </w:rPr>
        <w:t xml:space="preserve"> Euro</w:t>
      </w:r>
      <w:r w:rsidRPr="008B0237">
        <w:rPr>
          <w:rFonts w:eastAsia="Times New Roman" w:cs="Arial"/>
          <w:color w:val="FF0000"/>
          <w:sz w:val="16"/>
          <w:szCs w:val="16"/>
          <w:lang w:eastAsia="de-DE"/>
        </w:rPr>
        <w:t xml:space="preserve"> </w:t>
      </w:r>
      <w:r w:rsidRPr="008B0237">
        <w:rPr>
          <w:rFonts w:eastAsia="Times New Roman" w:cs="Arial"/>
          <w:color w:val="auto"/>
          <w:sz w:val="16"/>
          <w:szCs w:val="16"/>
          <w:lang w:eastAsia="de-DE"/>
        </w:rPr>
        <w:t>vereinbart.</w:t>
      </w:r>
    </w:p>
    <w:p w14:paraId="27D66AB5"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Beispiel für die Berechnung des Pflegeentgeltes – bei einer Behandlungsdauer von 10 Tagen</w:t>
      </w:r>
    </w:p>
    <w:p w14:paraId="67C87260" w14:textId="77777777" w:rsidR="008B0237" w:rsidRPr="00107FCA" w:rsidRDefault="008B0237" w:rsidP="008B0237">
      <w:pPr>
        <w:spacing w:after="0" w:line="240" w:lineRule="auto"/>
        <w:ind w:right="-568"/>
        <w:jc w:val="both"/>
        <w:rPr>
          <w:rFonts w:eastAsia="Times New Roman" w:cs="Arial"/>
          <w:color w:val="auto"/>
          <w:sz w:val="8"/>
          <w:szCs w:val="8"/>
          <w:lang w:eastAsia="de-DE"/>
        </w:rPr>
      </w:pPr>
    </w:p>
    <w:tbl>
      <w:tblPr>
        <w:tblW w:w="1077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6805"/>
        <w:gridCol w:w="1134"/>
        <w:gridCol w:w="708"/>
        <w:gridCol w:w="1131"/>
      </w:tblGrid>
      <w:tr w:rsidR="008B0237" w:rsidRPr="008B0237" w14:paraId="65D24717" w14:textId="77777777" w:rsidTr="004A3D31">
        <w:trPr>
          <w:trHeight w:val="303"/>
        </w:trPr>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D8B7CD" w14:textId="143AEBB6" w:rsidR="008B0237" w:rsidRPr="008B0237" w:rsidRDefault="008B0237" w:rsidP="008B0237">
            <w:pPr>
              <w:spacing w:after="0" w:line="240" w:lineRule="auto"/>
              <w:jc w:val="center"/>
              <w:rPr>
                <w:rFonts w:eastAsia="Times New Roman" w:cs="Arial"/>
                <w:b/>
                <w:bCs/>
                <w:color w:val="auto"/>
                <w:sz w:val="16"/>
                <w:szCs w:val="16"/>
                <w:lang w:eastAsia="de-DE"/>
              </w:rPr>
            </w:pPr>
            <w:r w:rsidRPr="008B0237">
              <w:rPr>
                <w:rFonts w:eastAsia="Times New Roman" w:cs="Arial"/>
                <w:b/>
                <w:bCs/>
                <w:color w:val="auto"/>
                <w:sz w:val="16"/>
                <w:szCs w:val="16"/>
                <w:lang w:eastAsia="de-DE"/>
              </w:rPr>
              <w:t>DRG 202</w:t>
            </w:r>
            <w:r w:rsidR="00C57127">
              <w:rPr>
                <w:rFonts w:eastAsia="Times New Roman" w:cs="Arial"/>
                <w:b/>
                <w:bCs/>
                <w:color w:val="auto"/>
                <w:sz w:val="16"/>
                <w:szCs w:val="16"/>
                <w:lang w:eastAsia="de-DE"/>
              </w:rPr>
              <w:t>5</w:t>
            </w:r>
          </w:p>
        </w:tc>
        <w:tc>
          <w:tcPr>
            <w:tcW w:w="68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0FEEAB" w14:textId="77777777" w:rsidR="008B0237" w:rsidRPr="008B0237" w:rsidRDefault="008B0237" w:rsidP="008B0237">
            <w:pPr>
              <w:keepNext/>
              <w:spacing w:after="0" w:line="240" w:lineRule="auto"/>
              <w:jc w:val="center"/>
              <w:outlineLvl w:val="6"/>
              <w:rPr>
                <w:rFonts w:eastAsia="Times New Roman" w:cs="Arial"/>
                <w:b/>
                <w:bCs/>
                <w:color w:val="auto"/>
                <w:sz w:val="16"/>
                <w:szCs w:val="16"/>
                <w:lang w:eastAsia="de-DE"/>
              </w:rPr>
            </w:pPr>
            <w:r w:rsidRPr="008B0237">
              <w:rPr>
                <w:rFonts w:eastAsia="Times New Roman" w:cs="Arial"/>
                <w:b/>
                <w:bCs/>
                <w:color w:val="auto"/>
                <w:sz w:val="16"/>
                <w:szCs w:val="16"/>
                <w:lang w:eastAsia="de-DE"/>
              </w:rPr>
              <w:t>Bezeichnung</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3DCA0" w14:textId="77777777" w:rsidR="008B0237" w:rsidRPr="008B0237" w:rsidRDefault="008B0237" w:rsidP="008B0237">
            <w:pPr>
              <w:spacing w:after="0" w:line="240" w:lineRule="auto"/>
              <w:jc w:val="center"/>
              <w:rPr>
                <w:rFonts w:eastAsia="Times New Roman" w:cs="Arial"/>
                <w:b/>
                <w:bCs/>
                <w:color w:val="auto"/>
                <w:sz w:val="14"/>
                <w:szCs w:val="14"/>
                <w:lang w:eastAsia="de-DE"/>
              </w:rPr>
            </w:pPr>
            <w:r w:rsidRPr="008B0237">
              <w:rPr>
                <w:rFonts w:eastAsia="Times New Roman" w:cs="Arial"/>
                <w:b/>
                <w:bCs/>
                <w:color w:val="auto"/>
                <w:sz w:val="14"/>
                <w:szCs w:val="14"/>
                <w:lang w:eastAsia="de-DE"/>
              </w:rPr>
              <w:t>Pflegeerlös Bewertungs-relation (BWR) /Tag</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73E367" w14:textId="77777777" w:rsidR="008B0237" w:rsidRPr="008B0237" w:rsidRDefault="008B0237" w:rsidP="008B0237">
            <w:pPr>
              <w:spacing w:after="0" w:line="240" w:lineRule="auto"/>
              <w:jc w:val="center"/>
              <w:rPr>
                <w:rFonts w:eastAsia="Times New Roman" w:cs="Arial"/>
                <w:b/>
                <w:bCs/>
                <w:color w:val="auto"/>
                <w:sz w:val="14"/>
                <w:szCs w:val="14"/>
                <w:lang w:eastAsia="de-DE"/>
              </w:rPr>
            </w:pPr>
            <w:r w:rsidRPr="008B0237">
              <w:rPr>
                <w:rFonts w:eastAsia="Times New Roman" w:cs="Arial"/>
                <w:b/>
                <w:bCs/>
                <w:color w:val="auto"/>
                <w:sz w:val="14"/>
                <w:szCs w:val="14"/>
                <w:lang w:eastAsia="de-DE"/>
              </w:rPr>
              <w:t>Pflege-entgelt pro Tag lt. BWR</w:t>
            </w:r>
          </w:p>
        </w:tc>
        <w:tc>
          <w:tcPr>
            <w:tcW w:w="11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E7DB3A" w14:textId="77777777" w:rsidR="008B0237" w:rsidRPr="008B0237" w:rsidRDefault="008B0237" w:rsidP="008B0237">
            <w:pPr>
              <w:tabs>
                <w:tab w:val="left" w:pos="426"/>
              </w:tabs>
              <w:spacing w:after="0" w:line="240" w:lineRule="auto"/>
              <w:jc w:val="center"/>
              <w:rPr>
                <w:rFonts w:eastAsia="Times New Roman" w:cs="Arial"/>
                <w:color w:val="auto"/>
                <w:sz w:val="14"/>
                <w:szCs w:val="14"/>
                <w:lang w:eastAsia="de-DE"/>
              </w:rPr>
            </w:pPr>
            <w:r w:rsidRPr="008B0237">
              <w:rPr>
                <w:rFonts w:eastAsia="Times New Roman" w:cs="Arial"/>
                <w:b/>
                <w:noProof/>
                <w:color w:val="auto"/>
                <w:sz w:val="14"/>
                <w:szCs w:val="14"/>
                <w:lang w:eastAsia="de-DE"/>
              </w:rPr>
              <w:t>Entgelthöhe</w:t>
            </w:r>
          </w:p>
        </w:tc>
      </w:tr>
      <w:tr w:rsidR="008B0237" w:rsidRPr="008B0237" w14:paraId="5D41B3EF" w14:textId="77777777" w:rsidTr="004A3D31">
        <w:trPr>
          <w:trHeight w:val="681"/>
        </w:trPr>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FE237B"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E71D</w:t>
            </w:r>
          </w:p>
        </w:tc>
        <w:tc>
          <w:tcPr>
            <w:tcW w:w="68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415A1" w14:textId="77777777" w:rsidR="008B0237" w:rsidRPr="008B0237" w:rsidRDefault="008B0237" w:rsidP="008B0237">
            <w:pPr>
              <w:spacing w:after="0" w:line="240" w:lineRule="auto"/>
              <w:rPr>
                <w:rFonts w:eastAsia="Times New Roman" w:cs="Arial"/>
                <w:color w:val="auto"/>
                <w:sz w:val="16"/>
                <w:szCs w:val="16"/>
                <w:lang w:eastAsia="de-DE"/>
              </w:rPr>
            </w:pPr>
            <w:r w:rsidRPr="008B0237">
              <w:rPr>
                <w:rFonts w:eastAsia="Times New Roman" w:cs="Arial"/>
                <w:color w:val="auto"/>
                <w:sz w:val="16"/>
                <w:szCs w:val="16"/>
                <w:lang w:eastAsia="de-DE"/>
              </w:rPr>
              <w:t>Neubildungen der Atmungsorgane, ein Belegungstag od. ohne äußerst schwere CC, ohne Ösophagusproth., ohne Stufenbiopsie, ohne Chemoth. od. ohne endoskop. Biop. am Respir.-Trakt, ohne Bronchoskopie mit starrem Instr., ohne perkut. Biopsie am Respir.-Trakt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E8333" w14:textId="4DA94EDD" w:rsidR="008B0237" w:rsidRPr="008B0237" w:rsidRDefault="008B7CCF"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0,8969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C20D4" w14:textId="6EAC1766" w:rsidR="008B0237" w:rsidRPr="008B0237" w:rsidRDefault="00FF26A7" w:rsidP="008B0237">
            <w:pPr>
              <w:spacing w:after="0" w:line="240" w:lineRule="auto"/>
              <w:jc w:val="center"/>
              <w:rPr>
                <w:rFonts w:eastAsia="Times New Roman" w:cs="Arial"/>
                <w:color w:val="FF0000"/>
                <w:sz w:val="16"/>
                <w:szCs w:val="16"/>
                <w:lang w:eastAsia="de-DE"/>
              </w:rPr>
            </w:pPr>
            <w:r>
              <w:rPr>
                <w:rFonts w:eastAsia="Times New Roman" w:cs="Arial"/>
                <w:color w:val="auto"/>
                <w:sz w:val="16"/>
                <w:szCs w:val="16"/>
                <w:lang w:eastAsia="de-DE"/>
              </w:rPr>
              <w:t>627,25</w:t>
            </w:r>
          </w:p>
        </w:tc>
        <w:tc>
          <w:tcPr>
            <w:tcW w:w="11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645509" w14:textId="77777777" w:rsidR="008B0237" w:rsidRPr="008B0237" w:rsidRDefault="008B0237" w:rsidP="008B0237">
            <w:pPr>
              <w:tabs>
                <w:tab w:val="left" w:pos="426"/>
              </w:tabs>
              <w:spacing w:after="0" w:line="240" w:lineRule="auto"/>
              <w:jc w:val="center"/>
              <w:rPr>
                <w:rFonts w:eastAsia="Times New Roman" w:cs="Arial"/>
                <w:color w:val="auto"/>
                <w:sz w:val="14"/>
                <w:szCs w:val="14"/>
                <w:lang w:eastAsia="de-DE"/>
              </w:rPr>
            </w:pPr>
          </w:p>
          <w:p w14:paraId="6F1F0306" w14:textId="1399340C" w:rsidR="008B0237" w:rsidRPr="008B0237" w:rsidRDefault="008B0237" w:rsidP="008B0237">
            <w:pPr>
              <w:tabs>
                <w:tab w:val="left" w:pos="426"/>
              </w:tabs>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 xml:space="preserve">10 x </w:t>
            </w:r>
            <w:r w:rsidR="00FF26A7">
              <w:rPr>
                <w:rFonts w:eastAsia="Times New Roman" w:cs="Arial"/>
                <w:color w:val="auto"/>
                <w:sz w:val="16"/>
                <w:szCs w:val="16"/>
                <w:lang w:eastAsia="de-DE"/>
              </w:rPr>
              <w:t>562,58</w:t>
            </w:r>
            <w:r w:rsidRPr="008B0237">
              <w:rPr>
                <w:rFonts w:eastAsia="Times New Roman" w:cs="Arial"/>
                <w:color w:val="auto"/>
                <w:sz w:val="16"/>
                <w:szCs w:val="16"/>
                <w:lang w:eastAsia="de-DE"/>
              </w:rPr>
              <w:t xml:space="preserve"> €</w:t>
            </w:r>
          </w:p>
          <w:p w14:paraId="13C3E555" w14:textId="2DDC46E3" w:rsidR="008B0237" w:rsidRPr="008B0237" w:rsidRDefault="008B0237" w:rsidP="006F505D">
            <w:pPr>
              <w:tabs>
                <w:tab w:val="left" w:pos="426"/>
              </w:tabs>
              <w:spacing w:after="0" w:line="240" w:lineRule="auto"/>
              <w:jc w:val="center"/>
              <w:rPr>
                <w:rFonts w:eastAsia="Times New Roman" w:cs="Arial"/>
                <w:b/>
                <w:color w:val="auto"/>
                <w:sz w:val="16"/>
                <w:szCs w:val="16"/>
                <w:lang w:eastAsia="de-DE"/>
              </w:rPr>
            </w:pPr>
            <w:r w:rsidRPr="008B0237">
              <w:rPr>
                <w:rFonts w:eastAsia="Times New Roman" w:cs="Arial"/>
                <w:b/>
                <w:color w:val="auto"/>
                <w:sz w:val="16"/>
                <w:szCs w:val="16"/>
                <w:lang w:eastAsia="de-DE"/>
              </w:rPr>
              <w:t>=</w:t>
            </w:r>
            <w:r w:rsidRPr="008B0237">
              <w:rPr>
                <w:rFonts w:eastAsia="Times New Roman" w:cs="Arial"/>
                <w:color w:val="auto"/>
                <w:sz w:val="16"/>
                <w:szCs w:val="16"/>
                <w:lang w:eastAsia="de-DE"/>
              </w:rPr>
              <w:t xml:space="preserve"> </w:t>
            </w:r>
            <w:r w:rsidR="00D5408C">
              <w:rPr>
                <w:rFonts w:eastAsia="Times New Roman" w:cs="Arial"/>
                <w:b/>
                <w:color w:val="auto"/>
                <w:sz w:val="16"/>
                <w:szCs w:val="16"/>
                <w:lang w:eastAsia="de-DE"/>
              </w:rPr>
              <w:t>5.625,80</w:t>
            </w:r>
            <w:r w:rsidR="006F505D">
              <w:rPr>
                <w:rFonts w:eastAsia="Times New Roman" w:cs="Arial"/>
                <w:b/>
                <w:color w:val="auto"/>
                <w:sz w:val="16"/>
                <w:szCs w:val="16"/>
                <w:lang w:eastAsia="de-DE"/>
              </w:rPr>
              <w:t xml:space="preserve"> </w:t>
            </w:r>
            <w:r w:rsidRPr="008B0237">
              <w:rPr>
                <w:rFonts w:eastAsia="Times New Roman" w:cs="Arial"/>
                <w:b/>
                <w:color w:val="auto"/>
                <w:sz w:val="16"/>
                <w:szCs w:val="16"/>
                <w:lang w:eastAsia="de-DE"/>
              </w:rPr>
              <w:t>€</w:t>
            </w:r>
          </w:p>
        </w:tc>
      </w:tr>
      <w:tr w:rsidR="008B0237" w:rsidRPr="008B0237" w14:paraId="1B7C43AC" w14:textId="77777777" w:rsidTr="004A3D31">
        <w:trPr>
          <w:trHeight w:val="847"/>
        </w:trPr>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0D1A8" w14:textId="77777777" w:rsidR="008B0237" w:rsidRPr="008B0237" w:rsidRDefault="008B0237" w:rsidP="008B0237">
            <w:pPr>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E02B</w:t>
            </w:r>
          </w:p>
        </w:tc>
        <w:tc>
          <w:tcPr>
            <w:tcW w:w="68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980136"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Andere OR-Prozeduren an den Atmungsorganen, Alter &gt; 9 Jahre, mit mäßig aufwendigem Eingriff bei Krankheiten und Störungen der Atmungsorgane oder mehr als ein Belegungstag mit bestimmtem Eingriff an Larynx oder Trachea oder mit äußerst schweren CC</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32CA9" w14:textId="5675FC9E" w:rsidR="008B0237" w:rsidRPr="008B0237" w:rsidRDefault="008B7CCF" w:rsidP="008B0237">
            <w:pPr>
              <w:spacing w:after="0" w:line="240" w:lineRule="auto"/>
              <w:jc w:val="center"/>
              <w:rPr>
                <w:rFonts w:eastAsia="Times New Roman" w:cs="Arial"/>
                <w:color w:val="auto"/>
                <w:sz w:val="16"/>
                <w:szCs w:val="16"/>
                <w:lang w:eastAsia="de-DE"/>
              </w:rPr>
            </w:pPr>
            <w:r>
              <w:rPr>
                <w:rFonts w:eastAsia="Times New Roman" w:cs="Arial"/>
                <w:color w:val="auto"/>
                <w:sz w:val="16"/>
                <w:szCs w:val="16"/>
                <w:lang w:eastAsia="de-DE"/>
              </w:rPr>
              <w:t>0,8062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54A80" w14:textId="61C82A5E" w:rsidR="008B0237" w:rsidRPr="008B0237" w:rsidRDefault="00FF26A7" w:rsidP="008B0237">
            <w:pPr>
              <w:spacing w:after="0" w:line="240" w:lineRule="auto"/>
              <w:jc w:val="center"/>
              <w:rPr>
                <w:rFonts w:eastAsia="Times New Roman" w:cs="Arial"/>
                <w:color w:val="FF0000"/>
                <w:sz w:val="16"/>
                <w:szCs w:val="16"/>
                <w:lang w:eastAsia="de-DE"/>
              </w:rPr>
            </w:pPr>
            <w:r>
              <w:rPr>
                <w:rFonts w:eastAsia="Times New Roman" w:cs="Arial"/>
                <w:color w:val="auto"/>
                <w:sz w:val="16"/>
                <w:szCs w:val="16"/>
                <w:lang w:eastAsia="de-DE"/>
              </w:rPr>
              <w:t>627,25</w:t>
            </w:r>
          </w:p>
        </w:tc>
        <w:tc>
          <w:tcPr>
            <w:tcW w:w="11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880683" w14:textId="77777777" w:rsidR="008B0237" w:rsidRPr="008B0237" w:rsidRDefault="008B0237" w:rsidP="008B0237">
            <w:pPr>
              <w:tabs>
                <w:tab w:val="left" w:pos="426"/>
              </w:tabs>
              <w:spacing w:after="0" w:line="240" w:lineRule="auto"/>
              <w:jc w:val="center"/>
              <w:rPr>
                <w:rFonts w:eastAsia="Times New Roman" w:cs="Arial"/>
                <w:color w:val="auto"/>
                <w:sz w:val="14"/>
                <w:szCs w:val="14"/>
                <w:lang w:eastAsia="de-DE"/>
              </w:rPr>
            </w:pPr>
          </w:p>
          <w:p w14:paraId="306EACBA" w14:textId="77777777" w:rsidR="008B0237" w:rsidRPr="008B0237" w:rsidRDefault="008B0237" w:rsidP="008B0237">
            <w:pPr>
              <w:tabs>
                <w:tab w:val="left" w:pos="426"/>
              </w:tabs>
              <w:spacing w:after="0" w:line="240" w:lineRule="auto"/>
              <w:jc w:val="center"/>
              <w:rPr>
                <w:rFonts w:eastAsia="Times New Roman" w:cs="Arial"/>
                <w:color w:val="auto"/>
                <w:sz w:val="14"/>
                <w:szCs w:val="14"/>
                <w:lang w:eastAsia="de-DE"/>
              </w:rPr>
            </w:pPr>
          </w:p>
          <w:p w14:paraId="20E52CF2" w14:textId="3D813200" w:rsidR="008B0237" w:rsidRPr="008B0237" w:rsidRDefault="008B0237" w:rsidP="008B0237">
            <w:pPr>
              <w:tabs>
                <w:tab w:val="left" w:pos="426"/>
              </w:tabs>
              <w:spacing w:after="0" w:line="240" w:lineRule="auto"/>
              <w:jc w:val="center"/>
              <w:rPr>
                <w:rFonts w:eastAsia="Times New Roman" w:cs="Arial"/>
                <w:color w:val="auto"/>
                <w:sz w:val="16"/>
                <w:szCs w:val="16"/>
                <w:lang w:eastAsia="de-DE"/>
              </w:rPr>
            </w:pPr>
            <w:r w:rsidRPr="008B0237">
              <w:rPr>
                <w:rFonts w:eastAsia="Times New Roman" w:cs="Arial"/>
                <w:color w:val="auto"/>
                <w:sz w:val="16"/>
                <w:szCs w:val="16"/>
                <w:lang w:eastAsia="de-DE"/>
              </w:rPr>
              <w:t xml:space="preserve">10 x </w:t>
            </w:r>
            <w:r w:rsidR="00035055">
              <w:rPr>
                <w:rFonts w:eastAsia="Times New Roman" w:cs="Arial"/>
                <w:color w:val="auto"/>
                <w:sz w:val="16"/>
                <w:szCs w:val="16"/>
                <w:lang w:eastAsia="de-DE"/>
              </w:rPr>
              <w:t>505,69</w:t>
            </w:r>
            <w:r w:rsidRPr="008B0237">
              <w:rPr>
                <w:rFonts w:eastAsia="Times New Roman" w:cs="Arial"/>
                <w:color w:val="auto"/>
                <w:sz w:val="16"/>
                <w:szCs w:val="16"/>
                <w:lang w:eastAsia="de-DE"/>
              </w:rPr>
              <w:t xml:space="preserve"> €</w:t>
            </w:r>
          </w:p>
          <w:p w14:paraId="12F9FD6F" w14:textId="78497A82" w:rsidR="008B0237" w:rsidRPr="008B0237" w:rsidRDefault="008B0237" w:rsidP="00D5408C">
            <w:pPr>
              <w:tabs>
                <w:tab w:val="left" w:pos="426"/>
              </w:tabs>
              <w:spacing w:after="0" w:line="240" w:lineRule="auto"/>
              <w:jc w:val="center"/>
              <w:rPr>
                <w:rFonts w:eastAsia="Times New Roman" w:cs="Arial"/>
                <w:b/>
                <w:color w:val="auto"/>
                <w:sz w:val="16"/>
                <w:szCs w:val="16"/>
                <w:lang w:eastAsia="de-DE"/>
              </w:rPr>
            </w:pPr>
            <w:r w:rsidRPr="008B0237">
              <w:rPr>
                <w:rFonts w:eastAsia="Times New Roman" w:cs="Arial"/>
                <w:b/>
                <w:color w:val="auto"/>
                <w:sz w:val="16"/>
                <w:szCs w:val="16"/>
                <w:lang w:eastAsia="de-DE"/>
              </w:rPr>
              <w:t>=</w:t>
            </w:r>
            <w:r w:rsidRPr="008B0237">
              <w:rPr>
                <w:rFonts w:eastAsia="Times New Roman" w:cs="Arial"/>
                <w:color w:val="auto"/>
                <w:sz w:val="16"/>
                <w:szCs w:val="16"/>
                <w:lang w:eastAsia="de-DE"/>
              </w:rPr>
              <w:t xml:space="preserve"> </w:t>
            </w:r>
            <w:r w:rsidR="00D5408C">
              <w:rPr>
                <w:rFonts w:eastAsia="Times New Roman" w:cs="Arial"/>
                <w:b/>
                <w:color w:val="auto"/>
                <w:sz w:val="16"/>
                <w:szCs w:val="16"/>
                <w:lang w:eastAsia="de-DE"/>
              </w:rPr>
              <w:t>5.056,90</w:t>
            </w:r>
            <w:r w:rsidRPr="008B0237">
              <w:rPr>
                <w:rFonts w:eastAsia="Times New Roman" w:cs="Arial"/>
                <w:b/>
                <w:color w:val="auto"/>
                <w:sz w:val="16"/>
                <w:szCs w:val="16"/>
                <w:lang w:eastAsia="de-DE"/>
              </w:rPr>
              <w:t xml:space="preserve"> €</w:t>
            </w:r>
          </w:p>
        </w:tc>
      </w:tr>
    </w:tbl>
    <w:p w14:paraId="093CE7BE" w14:textId="77777777" w:rsidR="008B0237" w:rsidRPr="00107FCA" w:rsidRDefault="008B0237" w:rsidP="008B0237">
      <w:pPr>
        <w:keepNext/>
        <w:spacing w:after="0" w:line="240" w:lineRule="auto"/>
        <w:ind w:left="-567" w:right="-568"/>
        <w:jc w:val="both"/>
        <w:outlineLvl w:val="0"/>
        <w:rPr>
          <w:rFonts w:eastAsia="Times New Roman" w:cs="Arial"/>
          <w:b/>
          <w:color w:val="auto"/>
          <w:sz w:val="8"/>
          <w:szCs w:val="8"/>
          <w:lang w:eastAsia="de-DE"/>
        </w:rPr>
      </w:pPr>
    </w:p>
    <w:p w14:paraId="009317BA" w14:textId="77777777" w:rsidR="008B0237" w:rsidRPr="008B0237" w:rsidRDefault="008B0237" w:rsidP="008B0237">
      <w:pPr>
        <w:keepNext/>
        <w:spacing w:after="0" w:line="240" w:lineRule="auto"/>
        <w:ind w:left="-567" w:right="-568"/>
        <w:jc w:val="both"/>
        <w:outlineLvl w:val="0"/>
        <w:rPr>
          <w:rFonts w:eastAsia="Times New Roman" w:cs="Arial"/>
          <w:b/>
          <w:color w:val="auto"/>
          <w:sz w:val="16"/>
          <w:szCs w:val="16"/>
          <w:lang w:eastAsia="de-DE"/>
        </w:rPr>
      </w:pPr>
      <w:r w:rsidRPr="008B0237">
        <w:rPr>
          <w:rFonts w:eastAsia="Times New Roman" w:cs="Arial"/>
          <w:b/>
          <w:color w:val="auto"/>
          <w:sz w:val="16"/>
          <w:szCs w:val="16"/>
          <w:lang w:eastAsia="de-DE"/>
        </w:rPr>
        <w:t>9. Entgelte für sonstige Leistungen</w:t>
      </w:r>
    </w:p>
    <w:p w14:paraId="2601FAC9" w14:textId="77777777" w:rsidR="008B0237" w:rsidRPr="008B0237" w:rsidRDefault="008B0237" w:rsidP="008B0237">
      <w:pPr>
        <w:keepNext/>
        <w:numPr>
          <w:ilvl w:val="0"/>
          <w:numId w:val="5"/>
        </w:numPr>
        <w:spacing w:after="0" w:line="240" w:lineRule="auto"/>
        <w:ind w:right="-568"/>
        <w:jc w:val="both"/>
        <w:outlineLvl w:val="0"/>
        <w:rPr>
          <w:rFonts w:eastAsia="Times New Roman" w:cs="Arial"/>
          <w:color w:val="auto"/>
          <w:sz w:val="16"/>
          <w:szCs w:val="16"/>
          <w:lang w:eastAsia="de-DE"/>
        </w:rPr>
      </w:pPr>
      <w:r w:rsidRPr="008B0237">
        <w:rPr>
          <w:rFonts w:eastAsia="Times New Roman" w:cs="Arial"/>
          <w:color w:val="auto"/>
          <w:sz w:val="16"/>
          <w:szCs w:val="16"/>
          <w:lang w:eastAsia="de-DE"/>
        </w:rPr>
        <w:t>Für Leistungen im Zusammenhang mit dem stationären Aufenthalt aus Anlass einer Begutachtung, berechnet das Krankenhaus die Entgelte nach 1.-8 des Entgelttarifes. Daneben berechnet der liquidationsberechtigte Arzt sein Honorar, werden Schreibgebühren für das Gutachten erhoben, werden Porto und Versandkosten berechnet.</w:t>
      </w:r>
    </w:p>
    <w:p w14:paraId="34FEBE0C" w14:textId="21CA54DF" w:rsidR="008B0237" w:rsidRDefault="008B0237" w:rsidP="008B0237">
      <w:pPr>
        <w:numPr>
          <w:ilvl w:val="0"/>
          <w:numId w:val="5"/>
        </w:numPr>
        <w:spacing w:after="0" w:line="240" w:lineRule="auto"/>
        <w:contextualSpacing/>
        <w:rPr>
          <w:rFonts w:eastAsia="Times New Roman" w:cs="Arial"/>
          <w:noProof/>
          <w:color w:val="auto"/>
          <w:sz w:val="16"/>
          <w:szCs w:val="16"/>
          <w:lang w:eastAsia="de-DE"/>
        </w:rPr>
      </w:pPr>
      <w:r w:rsidRPr="008B0237">
        <w:rPr>
          <w:rFonts w:eastAsia="Times New Roman" w:cs="Arial"/>
          <w:noProof/>
          <w:color w:val="auto"/>
          <w:sz w:val="16"/>
          <w:szCs w:val="16"/>
          <w:lang w:eastAsia="de-DE"/>
        </w:rPr>
        <w:t>Leichenschau gem. GOÄ Ziffern  100 und 101 (</w:t>
      </w:r>
      <w:r w:rsidR="00272B4A">
        <w:rPr>
          <w:rFonts w:eastAsia="Times New Roman" w:cs="Arial"/>
          <w:noProof/>
          <w:color w:val="auto"/>
          <w:sz w:val="16"/>
          <w:szCs w:val="16"/>
          <w:lang w:eastAsia="de-DE"/>
        </w:rPr>
        <w:t>60%)</w:t>
      </w:r>
      <w:r w:rsidR="00272B4A">
        <w:rPr>
          <w:rFonts w:eastAsia="Times New Roman" w:cs="Arial"/>
          <w:noProof/>
          <w:color w:val="auto"/>
          <w:sz w:val="16"/>
          <w:szCs w:val="16"/>
          <w:lang w:eastAsia="de-DE"/>
        </w:rPr>
        <w:tab/>
        <w:t xml:space="preserve"> </w:t>
      </w:r>
      <w:r w:rsidRPr="008B0237">
        <w:rPr>
          <w:rFonts w:eastAsia="Times New Roman" w:cs="Arial"/>
          <w:noProof/>
          <w:color w:val="auto"/>
          <w:sz w:val="16"/>
          <w:szCs w:val="16"/>
          <w:lang w:eastAsia="de-DE"/>
        </w:rPr>
        <w:t>165,77 Euro</w:t>
      </w:r>
    </w:p>
    <w:p w14:paraId="6A26C268" w14:textId="7C6081DA" w:rsidR="00B73B81" w:rsidRPr="008B0237" w:rsidRDefault="00B73B81" w:rsidP="008B0237">
      <w:pPr>
        <w:numPr>
          <w:ilvl w:val="0"/>
          <w:numId w:val="5"/>
        </w:numPr>
        <w:spacing w:after="0" w:line="240" w:lineRule="auto"/>
        <w:contextualSpacing/>
        <w:rPr>
          <w:rFonts w:eastAsia="Times New Roman" w:cs="Arial"/>
          <w:noProof/>
          <w:color w:val="auto"/>
          <w:sz w:val="16"/>
          <w:szCs w:val="16"/>
          <w:lang w:eastAsia="de-DE"/>
        </w:rPr>
      </w:pPr>
      <w:r>
        <w:rPr>
          <w:rFonts w:eastAsia="Times New Roman" w:cs="Arial"/>
          <w:noProof/>
          <w:color w:val="auto"/>
          <w:sz w:val="16"/>
          <w:szCs w:val="16"/>
          <w:lang w:eastAsia="de-DE"/>
        </w:rPr>
        <w:t xml:space="preserve">Nutzungsentgelt für die Kühlzelle (Sterbefall) in Höhe von </w:t>
      </w:r>
      <w:r w:rsidR="00D2065E">
        <w:rPr>
          <w:rFonts w:eastAsia="Times New Roman" w:cs="Arial"/>
          <w:noProof/>
          <w:color w:val="auto"/>
          <w:sz w:val="16"/>
          <w:szCs w:val="16"/>
          <w:lang w:eastAsia="de-DE"/>
        </w:rPr>
        <w:t>41,65</w:t>
      </w:r>
      <w:r>
        <w:rPr>
          <w:rFonts w:eastAsia="Times New Roman" w:cs="Arial"/>
          <w:noProof/>
          <w:color w:val="auto"/>
          <w:sz w:val="16"/>
          <w:szCs w:val="16"/>
          <w:lang w:eastAsia="de-DE"/>
        </w:rPr>
        <w:t xml:space="preserve"> Euro</w:t>
      </w:r>
      <w:r w:rsidR="00D2065E">
        <w:rPr>
          <w:rFonts w:eastAsia="Times New Roman" w:cs="Arial"/>
          <w:noProof/>
          <w:color w:val="auto"/>
          <w:sz w:val="16"/>
          <w:szCs w:val="16"/>
          <w:lang w:eastAsia="de-DE"/>
        </w:rPr>
        <w:t xml:space="preserve"> (inkl. 19% MwSt.)</w:t>
      </w:r>
      <w:r>
        <w:rPr>
          <w:rFonts w:eastAsia="Times New Roman" w:cs="Arial"/>
          <w:noProof/>
          <w:color w:val="auto"/>
          <w:sz w:val="16"/>
          <w:szCs w:val="16"/>
          <w:lang w:eastAsia="de-DE"/>
        </w:rPr>
        <w:t xml:space="preserve"> pro Tag.</w:t>
      </w:r>
    </w:p>
    <w:p w14:paraId="2BCDAD36"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0C7AC075" w14:textId="77777777" w:rsidR="008B0237" w:rsidRPr="008B0237" w:rsidRDefault="008B0237" w:rsidP="008B0237">
      <w:pPr>
        <w:spacing w:after="0" w:line="240" w:lineRule="auto"/>
        <w:ind w:left="-567" w:right="-568"/>
        <w:jc w:val="both"/>
        <w:rPr>
          <w:rFonts w:eastAsia="Times New Roman" w:cs="Arial"/>
          <w:b/>
          <w:bCs/>
          <w:color w:val="auto"/>
          <w:sz w:val="16"/>
          <w:szCs w:val="16"/>
          <w:lang w:eastAsia="de-DE"/>
        </w:rPr>
      </w:pPr>
      <w:r w:rsidRPr="008B0237">
        <w:rPr>
          <w:rFonts w:eastAsia="Times New Roman" w:cs="Arial"/>
          <w:b/>
          <w:bCs/>
          <w:color w:val="auto"/>
          <w:sz w:val="16"/>
          <w:szCs w:val="16"/>
          <w:lang w:eastAsia="de-DE"/>
        </w:rPr>
        <w:t>10. Zuzahlungen</w:t>
      </w:r>
    </w:p>
    <w:p w14:paraId="5C35FD70"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Das Krankenhaus zieht entsprechend der gesetzlichen Vorschriften eine Zuzahlung ein.</w:t>
      </w:r>
    </w:p>
    <w:p w14:paraId="1E48AB56" w14:textId="77777777" w:rsidR="008B0237" w:rsidRPr="00107FCA" w:rsidRDefault="008B0237" w:rsidP="008B0237">
      <w:pPr>
        <w:spacing w:after="0" w:line="240" w:lineRule="auto"/>
        <w:ind w:left="-567" w:right="-427"/>
        <w:jc w:val="both"/>
        <w:rPr>
          <w:rFonts w:eastAsia="Times New Roman" w:cs="Arial"/>
          <w:b/>
          <w:bCs/>
          <w:color w:val="auto"/>
          <w:sz w:val="8"/>
          <w:szCs w:val="8"/>
          <w:lang w:eastAsia="de-DE"/>
        </w:rPr>
      </w:pPr>
    </w:p>
    <w:p w14:paraId="64E1C4C7" w14:textId="77777777" w:rsidR="008B0237" w:rsidRPr="008B0237" w:rsidRDefault="008B0237" w:rsidP="008B0237">
      <w:pPr>
        <w:spacing w:after="0" w:line="240" w:lineRule="auto"/>
        <w:ind w:left="-567" w:right="-427"/>
        <w:jc w:val="both"/>
        <w:rPr>
          <w:rFonts w:eastAsia="Times New Roman" w:cs="Arial"/>
          <w:b/>
          <w:bCs/>
          <w:color w:val="auto"/>
          <w:sz w:val="16"/>
          <w:szCs w:val="16"/>
          <w:lang w:eastAsia="de-DE"/>
        </w:rPr>
      </w:pPr>
      <w:r w:rsidRPr="008B0237">
        <w:rPr>
          <w:rFonts w:eastAsia="Times New Roman" w:cs="Arial"/>
          <w:b/>
          <w:bCs/>
          <w:color w:val="auto"/>
          <w:sz w:val="16"/>
          <w:szCs w:val="16"/>
          <w:lang w:eastAsia="de-DE"/>
        </w:rPr>
        <w:t>11. Entgelte für Wahlleistungen</w:t>
      </w:r>
    </w:p>
    <w:p w14:paraId="4446EB85" w14:textId="77777777" w:rsidR="008B0237" w:rsidRPr="008B0237" w:rsidRDefault="008B0237" w:rsidP="008B0237">
      <w:pPr>
        <w:spacing w:after="0" w:line="240" w:lineRule="auto"/>
        <w:ind w:left="-567" w:right="-427"/>
        <w:jc w:val="both"/>
        <w:rPr>
          <w:rFonts w:eastAsia="Times New Roman" w:cs="Arial"/>
          <w:color w:val="auto"/>
          <w:sz w:val="16"/>
          <w:szCs w:val="16"/>
          <w:lang w:eastAsia="de-DE"/>
        </w:rPr>
      </w:pPr>
      <w:r w:rsidRPr="008B0237">
        <w:rPr>
          <w:rFonts w:eastAsia="Times New Roman" w:cs="Arial"/>
          <w:color w:val="auto"/>
          <w:sz w:val="16"/>
          <w:szCs w:val="16"/>
          <w:lang w:eastAsia="de-DE"/>
        </w:rPr>
        <w:t>Die außerhalb der allg. Krankenhausleistungen in Anspruch genommenen Wahlleistungen (§ 6 AVB) werden gesondert berechnet (§ 17 KHEntgG):</w:t>
      </w:r>
    </w:p>
    <w:p w14:paraId="6FC6365D" w14:textId="77777777" w:rsidR="008B0237" w:rsidRPr="008B0237" w:rsidRDefault="008B0237" w:rsidP="008B0237">
      <w:pPr>
        <w:numPr>
          <w:ilvl w:val="0"/>
          <w:numId w:val="8"/>
        </w:numPr>
        <w:spacing w:after="0" w:line="240" w:lineRule="auto"/>
        <w:ind w:right="-427"/>
        <w:jc w:val="both"/>
        <w:rPr>
          <w:rFonts w:eastAsia="Times New Roman" w:cs="Arial"/>
          <w:color w:val="auto"/>
          <w:sz w:val="16"/>
          <w:szCs w:val="16"/>
          <w:lang w:eastAsia="de-DE"/>
        </w:rPr>
      </w:pPr>
      <w:r w:rsidRPr="008B0237">
        <w:rPr>
          <w:rFonts w:eastAsia="Times New Roman" w:cs="Arial"/>
          <w:b/>
          <w:bCs/>
          <w:color w:val="auto"/>
          <w:sz w:val="16"/>
          <w:szCs w:val="16"/>
          <w:lang w:eastAsia="de-DE"/>
        </w:rPr>
        <w:t>Ärztliche Leistungen</w:t>
      </w:r>
      <w:r w:rsidRPr="008B0237">
        <w:rPr>
          <w:rFonts w:eastAsia="Times New Roman" w:cs="Arial"/>
          <w:color w:val="auto"/>
          <w:sz w:val="16"/>
          <w:szCs w:val="16"/>
          <w:lang w:eastAsia="de-DE"/>
        </w:rPr>
        <w:t xml:space="preserve"> aller an der Behandlung beteiligten Fachabteilungen und Institute, der Konsiliarärzte und der fremden ärztlich geleiteten Einrichtungen. Die ärztlichen Leistungen der Fachabteilungen/der ärztlich geleiteten Einrichtungen für</w:t>
      </w:r>
    </w:p>
    <w:tbl>
      <w:tblPr>
        <w:tblW w:w="11338"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60"/>
        <w:gridCol w:w="1134"/>
        <w:gridCol w:w="3118"/>
        <w:gridCol w:w="284"/>
        <w:gridCol w:w="3116"/>
      </w:tblGrid>
      <w:tr w:rsidR="008B0237" w:rsidRPr="008B0237" w14:paraId="03AC9028" w14:textId="77777777" w:rsidTr="004A3D31">
        <w:trPr>
          <w:gridBefore w:val="1"/>
          <w:wBefore w:w="1026" w:type="dxa"/>
        </w:trPr>
        <w:tc>
          <w:tcPr>
            <w:tcW w:w="3794" w:type="dxa"/>
            <w:gridSpan w:val="2"/>
            <w:shd w:val="clear" w:color="auto" w:fill="auto"/>
          </w:tcPr>
          <w:p w14:paraId="222080F4"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1. Psychiatrie/Psychotherapie, Psychosomatik </w:t>
            </w:r>
          </w:p>
        </w:tc>
        <w:tc>
          <w:tcPr>
            <w:tcW w:w="3402" w:type="dxa"/>
            <w:gridSpan w:val="2"/>
            <w:shd w:val="clear" w:color="auto" w:fill="auto"/>
          </w:tcPr>
          <w:p w14:paraId="53FFCB29"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2. Lungen- und Bronchialheilkunde</w:t>
            </w:r>
          </w:p>
        </w:tc>
        <w:tc>
          <w:tcPr>
            <w:tcW w:w="3116" w:type="dxa"/>
            <w:shd w:val="clear" w:color="auto" w:fill="auto"/>
          </w:tcPr>
          <w:p w14:paraId="1721B86B"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3. Rheumatologie</w:t>
            </w:r>
          </w:p>
        </w:tc>
      </w:tr>
      <w:tr w:rsidR="008B0237" w:rsidRPr="008B0237" w14:paraId="2C5A1DB2" w14:textId="77777777" w:rsidTr="004A3D31">
        <w:trPr>
          <w:gridBefore w:val="1"/>
          <w:wBefore w:w="1026" w:type="dxa"/>
        </w:trPr>
        <w:tc>
          <w:tcPr>
            <w:tcW w:w="3794" w:type="dxa"/>
            <w:gridSpan w:val="2"/>
            <w:shd w:val="clear" w:color="auto" w:fill="auto"/>
          </w:tcPr>
          <w:p w14:paraId="0E22F340"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4. Kinder- und Jugendpsychiatrie</w:t>
            </w:r>
          </w:p>
        </w:tc>
        <w:tc>
          <w:tcPr>
            <w:tcW w:w="3402" w:type="dxa"/>
            <w:gridSpan w:val="2"/>
            <w:shd w:val="clear" w:color="auto" w:fill="auto"/>
          </w:tcPr>
          <w:p w14:paraId="6DDA91E0" w14:textId="77777777" w:rsidR="008B0237" w:rsidRPr="008B0237" w:rsidRDefault="008B0237" w:rsidP="008B0237">
            <w:pPr>
              <w:spacing w:after="0" w:line="240" w:lineRule="auto"/>
              <w:jc w:val="both"/>
              <w:rPr>
                <w:rFonts w:eastAsia="Times New Roman" w:cs="Arial"/>
                <w:color w:val="auto"/>
                <w:sz w:val="16"/>
                <w:szCs w:val="16"/>
                <w:lang w:eastAsia="de-DE"/>
              </w:rPr>
            </w:pPr>
          </w:p>
        </w:tc>
        <w:tc>
          <w:tcPr>
            <w:tcW w:w="3116" w:type="dxa"/>
            <w:shd w:val="clear" w:color="auto" w:fill="auto"/>
          </w:tcPr>
          <w:p w14:paraId="751B1DFB" w14:textId="77777777" w:rsidR="008B0237" w:rsidRPr="008B0237" w:rsidRDefault="008B0237" w:rsidP="008B0237">
            <w:pPr>
              <w:spacing w:after="0" w:line="240" w:lineRule="auto"/>
              <w:jc w:val="both"/>
              <w:rPr>
                <w:rFonts w:eastAsia="Times New Roman" w:cs="Arial"/>
                <w:color w:val="auto"/>
                <w:sz w:val="16"/>
                <w:szCs w:val="16"/>
                <w:lang w:eastAsia="de-DE"/>
              </w:rPr>
            </w:pPr>
          </w:p>
        </w:tc>
      </w:tr>
      <w:tr w:rsidR="008B0237" w:rsidRPr="008B0237" w14:paraId="63AA33EB" w14:textId="77777777" w:rsidTr="004A3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686" w:type="dxa"/>
            <w:gridSpan w:val="2"/>
            <w:tcMar>
              <w:top w:w="0" w:type="dxa"/>
              <w:left w:w="0" w:type="dxa"/>
              <w:bottom w:w="0" w:type="dxa"/>
              <w:right w:w="0" w:type="dxa"/>
            </w:tcMar>
            <w:hideMark/>
          </w:tcPr>
          <w:p w14:paraId="183204B7" w14:textId="77777777" w:rsidR="008B0237" w:rsidRPr="008B0237" w:rsidRDefault="008B0237" w:rsidP="008B0237">
            <w:pPr>
              <w:spacing w:after="0" w:line="240" w:lineRule="auto"/>
              <w:ind w:right="-427"/>
              <w:rPr>
                <w:rFonts w:eastAsia="Times New Roman" w:cs="Arial"/>
                <w:color w:val="auto"/>
                <w:sz w:val="16"/>
                <w:szCs w:val="16"/>
                <w:lang w:eastAsia="de-DE"/>
              </w:rPr>
            </w:pPr>
          </w:p>
        </w:tc>
        <w:tc>
          <w:tcPr>
            <w:tcW w:w="4252" w:type="dxa"/>
            <w:gridSpan w:val="2"/>
            <w:tcMar>
              <w:top w:w="0" w:type="dxa"/>
              <w:left w:w="0" w:type="dxa"/>
              <w:bottom w:w="0" w:type="dxa"/>
              <w:right w:w="0" w:type="dxa"/>
            </w:tcMar>
            <w:hideMark/>
          </w:tcPr>
          <w:p w14:paraId="51EBAC28" w14:textId="77777777" w:rsidR="008B0237" w:rsidRPr="008B0237" w:rsidRDefault="008B0237" w:rsidP="008B0237">
            <w:pPr>
              <w:spacing w:after="0" w:line="240" w:lineRule="auto"/>
              <w:ind w:right="-427"/>
              <w:jc w:val="both"/>
              <w:rPr>
                <w:rFonts w:eastAsia="Times New Roman" w:cs="Arial"/>
                <w:color w:val="auto"/>
                <w:sz w:val="16"/>
                <w:szCs w:val="16"/>
                <w:lang w:eastAsia="de-DE"/>
              </w:rPr>
            </w:pPr>
          </w:p>
        </w:tc>
        <w:tc>
          <w:tcPr>
            <w:tcW w:w="3400" w:type="dxa"/>
            <w:gridSpan w:val="2"/>
            <w:tcMar>
              <w:top w:w="0" w:type="dxa"/>
              <w:left w:w="0" w:type="dxa"/>
              <w:bottom w:w="0" w:type="dxa"/>
              <w:right w:w="0" w:type="dxa"/>
            </w:tcMar>
            <w:hideMark/>
          </w:tcPr>
          <w:p w14:paraId="593865E7" w14:textId="77777777" w:rsidR="008B0237" w:rsidRPr="008B0237" w:rsidRDefault="008B0237" w:rsidP="008B0237">
            <w:pPr>
              <w:spacing w:after="0" w:line="240" w:lineRule="auto"/>
              <w:rPr>
                <w:rFonts w:ascii="Times New Roman" w:eastAsia="Times New Roman" w:hAnsi="Times New Roman" w:cs="Times New Roman"/>
                <w:color w:val="auto"/>
                <w:sz w:val="20"/>
                <w:szCs w:val="20"/>
                <w:lang w:eastAsia="de-DE"/>
              </w:rPr>
            </w:pPr>
          </w:p>
        </w:tc>
      </w:tr>
    </w:tbl>
    <w:p w14:paraId="1396B8E2" w14:textId="77777777" w:rsidR="008B0237" w:rsidRPr="008B0237" w:rsidRDefault="008B0237" w:rsidP="008B0237">
      <w:pPr>
        <w:spacing w:after="0" w:line="240" w:lineRule="auto"/>
        <w:ind w:left="-567" w:right="-427"/>
        <w:jc w:val="both"/>
        <w:rPr>
          <w:rFonts w:eastAsia="Times New Roman" w:cs="Arial"/>
          <w:color w:val="auto"/>
          <w:sz w:val="16"/>
          <w:szCs w:val="16"/>
          <w:lang w:eastAsia="de-DE"/>
        </w:rPr>
      </w:pPr>
      <w:r w:rsidRPr="008B0237">
        <w:rPr>
          <w:rFonts w:eastAsia="Times New Roman" w:cs="Arial"/>
          <w:color w:val="auto"/>
          <w:sz w:val="16"/>
          <w:szCs w:val="16"/>
          <w:lang w:eastAsia="de-DE"/>
        </w:rPr>
        <w:t>werden von liquidationsberechtigten Ärzten gesondert berechnet. Für die Berechnung der Wahlleistung "ärztliche Leistung" finden die Vorschriften der Gebührenordnung für Ärzte GOÄ in der jeweils gültigen Fassung Anwendung. Liquidationsberechtigt sind: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3118"/>
      </w:tblGrid>
      <w:tr w:rsidR="008B0237" w:rsidRPr="008B0237" w14:paraId="313319AB" w14:textId="77777777" w:rsidTr="004A3D31">
        <w:tc>
          <w:tcPr>
            <w:tcW w:w="3794" w:type="dxa"/>
            <w:shd w:val="clear" w:color="auto" w:fill="auto"/>
          </w:tcPr>
          <w:p w14:paraId="183F68E8" w14:textId="77777777" w:rsidR="008B0237" w:rsidRPr="008B0237" w:rsidRDefault="008B0237" w:rsidP="008B0237">
            <w:pPr>
              <w:spacing w:after="0" w:line="240" w:lineRule="auto"/>
              <w:jc w:val="both"/>
              <w:rPr>
                <w:rFonts w:eastAsia="Times New Roman" w:cs="Arial"/>
                <w:color w:val="auto"/>
                <w:sz w:val="16"/>
                <w:szCs w:val="16"/>
                <w:lang w:val="en-US" w:eastAsia="de-DE"/>
              </w:rPr>
            </w:pPr>
            <w:r w:rsidRPr="008B0237">
              <w:rPr>
                <w:rFonts w:eastAsia="Times New Roman" w:cs="Arial"/>
                <w:color w:val="auto"/>
                <w:sz w:val="16"/>
                <w:szCs w:val="16"/>
                <w:lang w:val="en-US" w:eastAsia="de-DE"/>
              </w:rPr>
              <w:t>1. CA Dr. med. Nedal Al-Khatib</w:t>
            </w:r>
          </w:p>
        </w:tc>
        <w:tc>
          <w:tcPr>
            <w:tcW w:w="3402" w:type="dxa"/>
            <w:shd w:val="clear" w:color="auto" w:fill="auto"/>
          </w:tcPr>
          <w:p w14:paraId="53A8459A" w14:textId="77777777" w:rsidR="008B0237" w:rsidRPr="008B0237" w:rsidRDefault="008B0237" w:rsidP="008B0237">
            <w:pPr>
              <w:spacing w:after="0" w:line="240" w:lineRule="auto"/>
              <w:jc w:val="both"/>
              <w:rPr>
                <w:rFonts w:eastAsia="Times New Roman" w:cs="Arial"/>
                <w:color w:val="auto"/>
                <w:sz w:val="16"/>
                <w:szCs w:val="16"/>
                <w:lang w:val="en-US" w:eastAsia="de-DE"/>
              </w:rPr>
            </w:pPr>
            <w:r w:rsidRPr="008B0237">
              <w:rPr>
                <w:rFonts w:eastAsia="Times New Roman" w:cs="Arial"/>
                <w:color w:val="auto"/>
                <w:sz w:val="16"/>
                <w:szCs w:val="16"/>
                <w:lang w:val="en-US" w:eastAsia="de-DE"/>
              </w:rPr>
              <w:t>2. CA. Dr. med. Saleh Al Hamoud</w:t>
            </w:r>
          </w:p>
        </w:tc>
        <w:tc>
          <w:tcPr>
            <w:tcW w:w="3118" w:type="dxa"/>
            <w:shd w:val="clear" w:color="auto" w:fill="auto"/>
          </w:tcPr>
          <w:p w14:paraId="7982FD0F"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3. Ltd. OA Dr. med. D. Günthel</w:t>
            </w:r>
          </w:p>
        </w:tc>
      </w:tr>
      <w:tr w:rsidR="008B0237" w:rsidRPr="008B0237" w14:paraId="4677BE71" w14:textId="77777777" w:rsidTr="004A3D31">
        <w:tc>
          <w:tcPr>
            <w:tcW w:w="3794" w:type="dxa"/>
            <w:shd w:val="clear" w:color="auto" w:fill="auto"/>
          </w:tcPr>
          <w:p w14:paraId="106C7A48"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4. N.N.</w:t>
            </w:r>
          </w:p>
        </w:tc>
        <w:tc>
          <w:tcPr>
            <w:tcW w:w="3402" w:type="dxa"/>
            <w:shd w:val="clear" w:color="auto" w:fill="auto"/>
          </w:tcPr>
          <w:p w14:paraId="2C9BE8BC"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5. Dr. med. Jens Fritzsche</w:t>
            </w:r>
          </w:p>
        </w:tc>
        <w:tc>
          <w:tcPr>
            <w:tcW w:w="3118" w:type="dxa"/>
            <w:shd w:val="clear" w:color="auto" w:fill="auto"/>
          </w:tcPr>
          <w:p w14:paraId="743C4032" w14:textId="77777777" w:rsidR="008B0237" w:rsidRPr="008B0237" w:rsidRDefault="008B0237" w:rsidP="008B0237">
            <w:pPr>
              <w:spacing w:after="0" w:line="240" w:lineRule="auto"/>
              <w:jc w:val="both"/>
              <w:rPr>
                <w:rFonts w:eastAsia="Times New Roman" w:cs="Arial"/>
                <w:color w:val="auto"/>
                <w:sz w:val="16"/>
                <w:szCs w:val="16"/>
                <w:lang w:eastAsia="de-DE"/>
              </w:rPr>
            </w:pPr>
            <w:r w:rsidRPr="008B0237">
              <w:rPr>
                <w:rFonts w:eastAsia="Times New Roman" w:cs="Arial"/>
                <w:color w:val="auto"/>
                <w:sz w:val="16"/>
                <w:szCs w:val="16"/>
                <w:lang w:eastAsia="de-DE"/>
              </w:rPr>
              <w:t>6. Dr. med. Volker Waltz</w:t>
            </w:r>
          </w:p>
        </w:tc>
      </w:tr>
    </w:tbl>
    <w:p w14:paraId="7AD1CDB0" w14:textId="77777777" w:rsidR="008B0237" w:rsidRPr="008B0237" w:rsidRDefault="008B0237" w:rsidP="008B0237">
      <w:pPr>
        <w:spacing w:after="0" w:line="240" w:lineRule="auto"/>
        <w:ind w:left="-567" w:right="-425"/>
        <w:jc w:val="both"/>
        <w:rPr>
          <w:rFonts w:eastAsia="Times New Roman" w:cs="Arial"/>
          <w:color w:val="auto"/>
          <w:sz w:val="16"/>
          <w:szCs w:val="16"/>
          <w:lang w:eastAsia="de-DE"/>
        </w:rPr>
      </w:pPr>
      <w:r w:rsidRPr="008B0237">
        <w:rPr>
          <w:rFonts w:eastAsia="Times New Roman" w:cs="Arial"/>
          <w:color w:val="auto"/>
          <w:sz w:val="16"/>
          <w:szCs w:val="16"/>
          <w:lang w:eastAsia="de-DE"/>
        </w:rPr>
        <w:t>Nach § 6 a GOÄ erfolgt bei vollstationären, teilstationären sowie vor- und nachstationären wahlärztlichen/privatärztlichen Leistungen eine Minderung der Gebühren einschließlich der darauf entfallenden Zuschläge um 25 %. Die ärztl. Leistungen der Konsiliarärzte und der fremden ärztl. geleiteten Einrichtungen werden von diesen nach den für sie geltenden Tarifen berechnet.</w:t>
      </w:r>
    </w:p>
    <w:p w14:paraId="5DCCD491" w14:textId="09BDABE4" w:rsidR="008B0237" w:rsidRPr="008B0237" w:rsidRDefault="008B0237" w:rsidP="008B0237">
      <w:pPr>
        <w:spacing w:after="0" w:line="240" w:lineRule="auto"/>
        <w:ind w:left="-567" w:right="-427"/>
        <w:jc w:val="both"/>
        <w:rPr>
          <w:rFonts w:eastAsia="Times New Roman" w:cs="Arial"/>
          <w:b/>
          <w:bCs/>
          <w:color w:val="auto"/>
          <w:sz w:val="16"/>
          <w:szCs w:val="20"/>
          <w:lang w:eastAsia="de-DE"/>
        </w:rPr>
      </w:pPr>
      <w:r w:rsidRPr="008B0237">
        <w:rPr>
          <w:rFonts w:eastAsia="Times New Roman" w:cs="Arial"/>
          <w:color w:val="auto"/>
          <w:sz w:val="16"/>
          <w:szCs w:val="20"/>
          <w:lang w:eastAsia="de-DE"/>
        </w:rPr>
        <w:t xml:space="preserve">b) </w:t>
      </w:r>
      <w:r w:rsidRPr="008B0237">
        <w:rPr>
          <w:rFonts w:eastAsia="Times New Roman" w:cs="Arial"/>
          <w:b/>
          <w:bCs/>
          <w:color w:val="auto"/>
          <w:sz w:val="16"/>
          <w:szCs w:val="20"/>
          <w:lang w:eastAsia="de-DE"/>
        </w:rPr>
        <w:t>Wahlleistung gesonderte Unterkunft</w:t>
      </w:r>
      <w:r w:rsidR="00CA4BB2">
        <w:rPr>
          <w:rFonts w:eastAsia="Times New Roman" w:cs="Arial"/>
          <w:b/>
          <w:bCs/>
          <w:color w:val="auto"/>
          <w:sz w:val="16"/>
          <w:szCs w:val="20"/>
          <w:lang w:eastAsia="de-DE"/>
        </w:rPr>
        <w:t xml:space="preserve"> je Berechnungstag ab 01.07</w:t>
      </w:r>
      <w:r w:rsidR="00C57127">
        <w:rPr>
          <w:rFonts w:eastAsia="Times New Roman" w:cs="Arial"/>
          <w:b/>
          <w:bCs/>
          <w:color w:val="auto"/>
          <w:sz w:val="16"/>
          <w:szCs w:val="20"/>
          <w:lang w:eastAsia="de-DE"/>
        </w:rPr>
        <w:t>.2025</w:t>
      </w:r>
    </w:p>
    <w:p w14:paraId="1603B3CB" w14:textId="77777777" w:rsidR="008B0237" w:rsidRPr="008B0237" w:rsidRDefault="008B0237" w:rsidP="008B0237">
      <w:pPr>
        <w:spacing w:after="0" w:line="240" w:lineRule="auto"/>
        <w:jc w:val="both"/>
        <w:rPr>
          <w:rFonts w:eastAsia="Times New Roman" w:cs="Arial"/>
          <w:b/>
          <w:bCs/>
          <w:color w:val="auto"/>
          <w:sz w:val="2"/>
          <w:szCs w:val="20"/>
          <w:lang w:eastAsia="de-DE"/>
        </w:rPr>
      </w:pPr>
    </w:p>
    <w:tbl>
      <w:tblPr>
        <w:tblW w:w="10770" w:type="dxa"/>
        <w:tblInd w:w="-562" w:type="dxa"/>
        <w:tblLayout w:type="fixed"/>
        <w:tblCellMar>
          <w:left w:w="0" w:type="dxa"/>
          <w:right w:w="0" w:type="dxa"/>
        </w:tblCellMar>
        <w:tblLook w:val="04A0" w:firstRow="1" w:lastRow="0" w:firstColumn="1" w:lastColumn="0" w:noHBand="0" w:noVBand="1"/>
      </w:tblPr>
      <w:tblGrid>
        <w:gridCol w:w="4818"/>
        <w:gridCol w:w="1364"/>
        <w:gridCol w:w="1471"/>
        <w:gridCol w:w="3117"/>
      </w:tblGrid>
      <w:tr w:rsidR="008B0237" w:rsidRPr="008B0237" w14:paraId="01D03928" w14:textId="77777777" w:rsidTr="004A3D31">
        <w:trPr>
          <w:trHeight w:val="144"/>
        </w:trPr>
        <w:tc>
          <w:tcPr>
            <w:tcW w:w="4818" w:type="dxa"/>
            <w:tcBorders>
              <w:top w:val="single" w:sz="4" w:space="0" w:color="auto"/>
              <w:left w:val="single" w:sz="4" w:space="0" w:color="auto"/>
              <w:bottom w:val="nil"/>
              <w:right w:val="nil"/>
            </w:tcBorders>
            <w:hideMark/>
          </w:tcPr>
          <w:p w14:paraId="2715228D" w14:textId="77777777" w:rsidR="008B0237" w:rsidRPr="008B0237" w:rsidRDefault="008B0237" w:rsidP="008B0237">
            <w:pPr>
              <w:spacing w:after="0" w:line="240" w:lineRule="auto"/>
              <w:jc w:val="both"/>
              <w:rPr>
                <w:rFonts w:eastAsia="Arial Unicode MS" w:cs="Arial"/>
                <w:b/>
                <w:color w:val="auto"/>
                <w:sz w:val="16"/>
                <w:szCs w:val="16"/>
                <w:lang w:eastAsia="de-DE"/>
              </w:rPr>
            </w:pPr>
            <w:r w:rsidRPr="008B0237">
              <w:rPr>
                <w:rFonts w:eastAsia="Times New Roman" w:cs="Arial"/>
                <w:b/>
                <w:color w:val="auto"/>
                <w:sz w:val="16"/>
                <w:szCs w:val="16"/>
                <w:lang w:eastAsia="de-DE"/>
              </w:rPr>
              <w:t>Fachrichtung</w:t>
            </w:r>
          </w:p>
        </w:tc>
        <w:tc>
          <w:tcPr>
            <w:tcW w:w="1364" w:type="dxa"/>
            <w:tcBorders>
              <w:top w:val="single" w:sz="4" w:space="0" w:color="auto"/>
              <w:left w:val="nil"/>
              <w:bottom w:val="nil"/>
              <w:right w:val="nil"/>
            </w:tcBorders>
            <w:hideMark/>
          </w:tcPr>
          <w:p w14:paraId="70DB50B7" w14:textId="77777777" w:rsidR="008B0237" w:rsidRPr="008B0237" w:rsidRDefault="008B0237" w:rsidP="008B0237">
            <w:pPr>
              <w:spacing w:after="0" w:line="240" w:lineRule="auto"/>
              <w:jc w:val="center"/>
              <w:rPr>
                <w:rFonts w:eastAsia="Arial Unicode MS" w:cs="Arial"/>
                <w:color w:val="auto"/>
                <w:sz w:val="16"/>
                <w:szCs w:val="16"/>
                <w:lang w:eastAsia="de-DE"/>
              </w:rPr>
            </w:pPr>
            <w:r w:rsidRPr="008B0237">
              <w:rPr>
                <w:rFonts w:eastAsia="Times New Roman" w:cs="Arial"/>
                <w:color w:val="auto"/>
                <w:sz w:val="16"/>
                <w:szCs w:val="16"/>
                <w:lang w:eastAsia="de-DE"/>
              </w:rPr>
              <w:t>1-Bettzimmer</w:t>
            </w:r>
          </w:p>
        </w:tc>
        <w:tc>
          <w:tcPr>
            <w:tcW w:w="1471" w:type="dxa"/>
            <w:tcBorders>
              <w:top w:val="single" w:sz="4" w:space="0" w:color="auto"/>
              <w:left w:val="nil"/>
              <w:bottom w:val="nil"/>
              <w:right w:val="nil"/>
            </w:tcBorders>
            <w:hideMark/>
          </w:tcPr>
          <w:p w14:paraId="28B45FFD" w14:textId="77777777" w:rsidR="008B0237" w:rsidRPr="008B0237" w:rsidRDefault="008B0237" w:rsidP="008B0237">
            <w:pPr>
              <w:spacing w:after="0" w:line="240" w:lineRule="auto"/>
              <w:jc w:val="center"/>
              <w:rPr>
                <w:rFonts w:eastAsia="Arial Unicode MS" w:cs="Arial"/>
                <w:color w:val="auto"/>
                <w:sz w:val="16"/>
                <w:szCs w:val="16"/>
                <w:lang w:eastAsia="de-DE"/>
              </w:rPr>
            </w:pPr>
          </w:p>
        </w:tc>
        <w:tc>
          <w:tcPr>
            <w:tcW w:w="3117" w:type="dxa"/>
            <w:tcBorders>
              <w:top w:val="single" w:sz="4" w:space="0" w:color="auto"/>
              <w:left w:val="nil"/>
              <w:bottom w:val="nil"/>
              <w:right w:val="single" w:sz="4" w:space="0" w:color="auto"/>
            </w:tcBorders>
            <w:hideMark/>
          </w:tcPr>
          <w:p w14:paraId="2AD328C8" w14:textId="77777777" w:rsidR="008B0237" w:rsidRPr="008B0237" w:rsidRDefault="008B0237" w:rsidP="008B0237">
            <w:pPr>
              <w:spacing w:after="0" w:line="240" w:lineRule="auto"/>
              <w:rPr>
                <w:rFonts w:eastAsia="Arial Unicode MS" w:cs="Arial"/>
                <w:color w:val="auto"/>
                <w:sz w:val="16"/>
                <w:szCs w:val="16"/>
                <w:lang w:eastAsia="de-DE"/>
              </w:rPr>
            </w:pPr>
            <w:r w:rsidRPr="008B0237">
              <w:rPr>
                <w:rFonts w:eastAsia="Times New Roman" w:cs="Arial"/>
                <w:color w:val="auto"/>
                <w:sz w:val="16"/>
                <w:szCs w:val="16"/>
                <w:lang w:eastAsia="de-DE"/>
              </w:rPr>
              <w:t>Platzfreihaltegebühr im 1-Bettzimmer</w:t>
            </w:r>
          </w:p>
        </w:tc>
      </w:tr>
      <w:tr w:rsidR="008B0237" w:rsidRPr="008B0237" w14:paraId="33B5AFB9" w14:textId="77777777" w:rsidTr="004A3D31">
        <w:trPr>
          <w:trHeight w:val="104"/>
        </w:trPr>
        <w:tc>
          <w:tcPr>
            <w:tcW w:w="4818" w:type="dxa"/>
            <w:tcBorders>
              <w:top w:val="nil"/>
              <w:left w:val="single" w:sz="4" w:space="0" w:color="auto"/>
              <w:bottom w:val="nil"/>
              <w:right w:val="nil"/>
            </w:tcBorders>
            <w:noWrap/>
            <w:vAlign w:val="bottom"/>
            <w:hideMark/>
          </w:tcPr>
          <w:p w14:paraId="2C2D655C" w14:textId="77777777" w:rsidR="008B0237" w:rsidRPr="008B0237" w:rsidRDefault="008B0237" w:rsidP="008B0237">
            <w:pPr>
              <w:spacing w:after="0" w:line="240" w:lineRule="auto"/>
              <w:jc w:val="both"/>
              <w:rPr>
                <w:rFonts w:eastAsia="Arial Unicode MS" w:cs="Arial"/>
                <w:color w:val="auto"/>
                <w:sz w:val="16"/>
                <w:szCs w:val="16"/>
                <w:lang w:eastAsia="de-DE"/>
              </w:rPr>
            </w:pPr>
            <w:r w:rsidRPr="008B0237">
              <w:rPr>
                <w:rFonts w:eastAsia="Times New Roman" w:cs="Arial"/>
                <w:color w:val="auto"/>
                <w:sz w:val="16"/>
                <w:szCs w:val="16"/>
                <w:lang w:eastAsia="de-DE"/>
              </w:rPr>
              <w:t>Lungen-/Bronchialheilkunde</w:t>
            </w:r>
          </w:p>
        </w:tc>
        <w:tc>
          <w:tcPr>
            <w:tcW w:w="1364" w:type="dxa"/>
            <w:noWrap/>
            <w:vAlign w:val="bottom"/>
            <w:hideMark/>
          </w:tcPr>
          <w:p w14:paraId="64964C3E" w14:textId="463C9090" w:rsidR="008B0237" w:rsidRPr="008B0237" w:rsidRDefault="00CA4BB2" w:rsidP="008B0237">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8B0237" w:rsidRPr="008B0237">
              <w:rPr>
                <w:rFonts w:eastAsia="Times New Roman" w:cs="Arial"/>
                <w:color w:val="auto"/>
                <w:sz w:val="16"/>
                <w:szCs w:val="16"/>
                <w:lang w:eastAsia="de-DE"/>
              </w:rPr>
              <w:t xml:space="preserve"> €</w:t>
            </w:r>
          </w:p>
        </w:tc>
        <w:tc>
          <w:tcPr>
            <w:tcW w:w="1471" w:type="dxa"/>
            <w:noWrap/>
            <w:vAlign w:val="bottom"/>
            <w:hideMark/>
          </w:tcPr>
          <w:p w14:paraId="74F7E4DA" w14:textId="77777777" w:rsidR="008B0237" w:rsidRPr="008B0237" w:rsidRDefault="008B0237" w:rsidP="008B0237">
            <w:pPr>
              <w:spacing w:after="0" w:line="240" w:lineRule="auto"/>
              <w:jc w:val="center"/>
              <w:rPr>
                <w:rFonts w:eastAsia="Arial Unicode MS" w:cs="Arial"/>
                <w:color w:val="auto"/>
                <w:sz w:val="16"/>
                <w:szCs w:val="16"/>
                <w:lang w:eastAsia="de-DE"/>
              </w:rPr>
            </w:pPr>
          </w:p>
        </w:tc>
        <w:tc>
          <w:tcPr>
            <w:tcW w:w="3117" w:type="dxa"/>
            <w:tcBorders>
              <w:top w:val="nil"/>
              <w:left w:val="nil"/>
              <w:bottom w:val="nil"/>
              <w:right w:val="single" w:sz="4" w:space="0" w:color="auto"/>
            </w:tcBorders>
            <w:noWrap/>
            <w:vAlign w:val="bottom"/>
            <w:hideMark/>
          </w:tcPr>
          <w:p w14:paraId="65136279" w14:textId="1C8BAAB8" w:rsidR="008B0237" w:rsidRPr="008B0237" w:rsidRDefault="00CA4BB2" w:rsidP="008B0237">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23,36 €</w:t>
            </w:r>
          </w:p>
        </w:tc>
      </w:tr>
      <w:tr w:rsidR="008B0237" w:rsidRPr="008B0237" w14:paraId="0D57E07F" w14:textId="77777777" w:rsidTr="004A3D31">
        <w:trPr>
          <w:trHeight w:val="68"/>
        </w:trPr>
        <w:tc>
          <w:tcPr>
            <w:tcW w:w="4818" w:type="dxa"/>
            <w:tcBorders>
              <w:top w:val="nil"/>
              <w:left w:val="single" w:sz="4" w:space="0" w:color="auto"/>
              <w:bottom w:val="nil"/>
              <w:right w:val="nil"/>
            </w:tcBorders>
            <w:noWrap/>
            <w:vAlign w:val="bottom"/>
            <w:hideMark/>
          </w:tcPr>
          <w:p w14:paraId="5C231808" w14:textId="77777777" w:rsidR="008B0237" w:rsidRPr="008B0237" w:rsidRDefault="008B0237" w:rsidP="008B0237">
            <w:pPr>
              <w:spacing w:after="0" w:line="240" w:lineRule="auto"/>
              <w:jc w:val="both"/>
              <w:rPr>
                <w:rFonts w:eastAsia="Arial Unicode MS" w:cs="Arial"/>
                <w:color w:val="auto"/>
                <w:sz w:val="16"/>
                <w:szCs w:val="16"/>
                <w:lang w:eastAsia="de-DE"/>
              </w:rPr>
            </w:pPr>
            <w:r w:rsidRPr="008B0237">
              <w:rPr>
                <w:rFonts w:eastAsia="Times New Roman" w:cs="Arial"/>
                <w:color w:val="auto"/>
                <w:sz w:val="16"/>
                <w:szCs w:val="16"/>
                <w:lang w:eastAsia="de-DE"/>
              </w:rPr>
              <w:t>Rheumatologie</w:t>
            </w:r>
          </w:p>
        </w:tc>
        <w:tc>
          <w:tcPr>
            <w:tcW w:w="1364" w:type="dxa"/>
            <w:noWrap/>
            <w:vAlign w:val="bottom"/>
            <w:hideMark/>
          </w:tcPr>
          <w:p w14:paraId="495DE437" w14:textId="31AF1351" w:rsidR="008B0237" w:rsidRPr="008B0237" w:rsidRDefault="00CA4BB2" w:rsidP="00CA4BB2">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8B0237" w:rsidRPr="008B0237">
              <w:rPr>
                <w:rFonts w:eastAsia="Times New Roman" w:cs="Arial"/>
                <w:color w:val="auto"/>
                <w:sz w:val="16"/>
                <w:szCs w:val="16"/>
                <w:lang w:eastAsia="de-DE"/>
              </w:rPr>
              <w:t xml:space="preserve"> €</w:t>
            </w:r>
          </w:p>
        </w:tc>
        <w:tc>
          <w:tcPr>
            <w:tcW w:w="1471" w:type="dxa"/>
            <w:noWrap/>
            <w:vAlign w:val="bottom"/>
            <w:hideMark/>
          </w:tcPr>
          <w:p w14:paraId="3208EEBE" w14:textId="77777777" w:rsidR="008B0237" w:rsidRPr="008B0237" w:rsidRDefault="008B0237" w:rsidP="008B0237">
            <w:pPr>
              <w:spacing w:after="0" w:line="240" w:lineRule="auto"/>
              <w:jc w:val="center"/>
              <w:rPr>
                <w:rFonts w:eastAsia="Arial Unicode MS" w:cs="Arial"/>
                <w:color w:val="auto"/>
                <w:sz w:val="16"/>
                <w:szCs w:val="16"/>
                <w:lang w:eastAsia="de-DE"/>
              </w:rPr>
            </w:pPr>
            <w:r w:rsidRPr="008B0237">
              <w:rPr>
                <w:rFonts w:eastAsia="Times New Roman" w:cs="Arial"/>
                <w:color w:val="auto"/>
                <w:sz w:val="16"/>
                <w:szCs w:val="16"/>
                <w:lang w:eastAsia="de-DE"/>
              </w:rPr>
              <w:t xml:space="preserve"> </w:t>
            </w:r>
          </w:p>
        </w:tc>
        <w:tc>
          <w:tcPr>
            <w:tcW w:w="3117" w:type="dxa"/>
            <w:tcBorders>
              <w:top w:val="nil"/>
              <w:left w:val="nil"/>
              <w:bottom w:val="nil"/>
              <w:right w:val="single" w:sz="4" w:space="0" w:color="auto"/>
            </w:tcBorders>
            <w:noWrap/>
            <w:vAlign w:val="bottom"/>
            <w:hideMark/>
          </w:tcPr>
          <w:p w14:paraId="1BBBC3EB" w14:textId="3FA2FE6C" w:rsidR="008B0237" w:rsidRPr="008B0237" w:rsidRDefault="00CA4BB2" w:rsidP="008B0237">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8B0237" w:rsidRPr="008B0237">
              <w:rPr>
                <w:rFonts w:eastAsia="Times New Roman" w:cs="Arial"/>
                <w:color w:val="auto"/>
                <w:sz w:val="16"/>
                <w:szCs w:val="16"/>
                <w:lang w:eastAsia="de-DE"/>
              </w:rPr>
              <w:t xml:space="preserve"> €</w:t>
            </w:r>
          </w:p>
        </w:tc>
      </w:tr>
      <w:tr w:rsidR="008B0237" w:rsidRPr="008B0237" w14:paraId="5F1CAFEB" w14:textId="77777777" w:rsidTr="004A3D31">
        <w:trPr>
          <w:trHeight w:val="116"/>
        </w:trPr>
        <w:tc>
          <w:tcPr>
            <w:tcW w:w="4818" w:type="dxa"/>
            <w:tcBorders>
              <w:top w:val="nil"/>
              <w:left w:val="single" w:sz="4" w:space="0" w:color="auto"/>
              <w:bottom w:val="single" w:sz="4" w:space="0" w:color="auto"/>
              <w:right w:val="nil"/>
            </w:tcBorders>
            <w:vAlign w:val="center"/>
            <w:hideMark/>
          </w:tcPr>
          <w:p w14:paraId="7F4C1E9B" w14:textId="77777777" w:rsidR="008B0237" w:rsidRPr="008B0237" w:rsidRDefault="008B0237" w:rsidP="008B0237">
            <w:pPr>
              <w:spacing w:after="0" w:line="240" w:lineRule="auto"/>
              <w:jc w:val="both"/>
              <w:rPr>
                <w:rFonts w:eastAsia="Arial Unicode MS" w:cs="Arial"/>
                <w:color w:val="auto"/>
                <w:sz w:val="16"/>
                <w:szCs w:val="16"/>
                <w:lang w:eastAsia="de-DE"/>
              </w:rPr>
            </w:pPr>
            <w:r w:rsidRPr="008B0237">
              <w:rPr>
                <w:rFonts w:eastAsia="Times New Roman" w:cs="Arial"/>
                <w:color w:val="auto"/>
                <w:sz w:val="16"/>
                <w:szCs w:val="16"/>
                <w:lang w:eastAsia="de-DE"/>
              </w:rPr>
              <w:t>Unterbringung und Verpflegung einer Begleitperson</w:t>
            </w:r>
          </w:p>
        </w:tc>
        <w:tc>
          <w:tcPr>
            <w:tcW w:w="5952" w:type="dxa"/>
            <w:gridSpan w:val="3"/>
            <w:tcBorders>
              <w:top w:val="nil"/>
              <w:left w:val="nil"/>
              <w:bottom w:val="single" w:sz="4" w:space="0" w:color="auto"/>
              <w:right w:val="single" w:sz="4" w:space="0" w:color="auto"/>
            </w:tcBorders>
            <w:vAlign w:val="center"/>
            <w:hideMark/>
          </w:tcPr>
          <w:p w14:paraId="263F2289" w14:textId="62A4AD45" w:rsidR="008B0237" w:rsidRPr="008B0237" w:rsidRDefault="00C57127" w:rsidP="008B0237">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8B0237" w:rsidRPr="008B0237">
              <w:rPr>
                <w:rFonts w:eastAsia="Times New Roman" w:cs="Arial"/>
                <w:color w:val="auto"/>
                <w:sz w:val="16"/>
                <w:szCs w:val="16"/>
                <w:lang w:eastAsia="de-DE"/>
              </w:rPr>
              <w:t>,00 €</w:t>
            </w:r>
          </w:p>
        </w:tc>
      </w:tr>
    </w:tbl>
    <w:p w14:paraId="6A95B584" w14:textId="77777777" w:rsidR="008B0237" w:rsidRPr="008B0237" w:rsidRDefault="008B0237" w:rsidP="008B0237">
      <w:pPr>
        <w:spacing w:after="0" w:line="240" w:lineRule="auto"/>
        <w:jc w:val="both"/>
        <w:rPr>
          <w:rFonts w:ascii="Times New Roman" w:eastAsia="Times New Roman" w:hAnsi="Times New Roman" w:cs="Times New Roman"/>
          <w:b/>
          <w:bCs/>
          <w:color w:val="auto"/>
          <w:sz w:val="2"/>
          <w:szCs w:val="20"/>
          <w:lang w:eastAsia="de-DE"/>
        </w:rPr>
      </w:pPr>
    </w:p>
    <w:p w14:paraId="0C617F6B"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Für einen Zeitraum von maximal vier Tagen besteht die Möglichkeit der Reservierung bzw. des Freihaltens des gebuchten 1-Bett-Zimmers für den Fall, dass das Zimmer vorübergehend nicht genutzt werden kann. Während der Zeit der Reservierung / des Freihaltens, in welcher das Zimmer nicht anderweitig belegt wird, berechnet das Krankenhaus den um 25 % geminderten Zimmerpreis.</w:t>
      </w:r>
    </w:p>
    <w:p w14:paraId="1361E605"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2DC1FF7F" w14:textId="520E49AE" w:rsidR="008B0237" w:rsidRPr="008B0237" w:rsidRDefault="008B0237" w:rsidP="008B0237">
      <w:pPr>
        <w:spacing w:after="0" w:line="240" w:lineRule="auto"/>
        <w:ind w:left="-567" w:right="-568"/>
        <w:jc w:val="both"/>
        <w:rPr>
          <w:rFonts w:eastAsia="Times New Roman" w:cs="Arial"/>
          <w:b/>
          <w:bCs/>
          <w:color w:val="auto"/>
          <w:sz w:val="16"/>
          <w:lang w:eastAsia="de-DE"/>
        </w:rPr>
      </w:pPr>
      <w:r w:rsidRPr="008B0237">
        <w:rPr>
          <w:rFonts w:eastAsia="Times New Roman" w:cs="Arial"/>
          <w:b/>
          <w:bCs/>
          <w:color w:val="auto"/>
          <w:sz w:val="16"/>
          <w:lang w:eastAsia="de-DE"/>
        </w:rPr>
        <w:t>12. Wiederau</w:t>
      </w:r>
      <w:r w:rsidR="00C57127">
        <w:rPr>
          <w:rFonts w:eastAsia="Times New Roman" w:cs="Arial"/>
          <w:b/>
          <w:bCs/>
          <w:color w:val="auto"/>
          <w:sz w:val="16"/>
          <w:lang w:eastAsia="de-DE"/>
        </w:rPr>
        <w:t>fnahmeregelung nach § 2 FPV 2025</w:t>
      </w:r>
      <w:r w:rsidRPr="008B0237">
        <w:rPr>
          <w:rFonts w:eastAsia="Times New Roman" w:cs="Arial"/>
          <w:b/>
          <w:bCs/>
          <w:color w:val="auto"/>
          <w:sz w:val="16"/>
          <w:lang w:eastAsia="de-DE"/>
        </w:rPr>
        <w:t xml:space="preserve"> und Rückverlegungsr</w:t>
      </w:r>
      <w:r w:rsidR="00C57127">
        <w:rPr>
          <w:rFonts w:eastAsia="Times New Roman" w:cs="Arial"/>
          <w:b/>
          <w:bCs/>
          <w:color w:val="auto"/>
          <w:sz w:val="16"/>
          <w:lang w:eastAsia="de-DE"/>
        </w:rPr>
        <w:t>egelung gem. § 3 Abs. 3 FPV 2025</w:t>
      </w:r>
    </w:p>
    <w:p w14:paraId="06736F07" w14:textId="77777777" w:rsidR="008B0237" w:rsidRPr="008B0237" w:rsidRDefault="008B0237" w:rsidP="008B0237">
      <w:pPr>
        <w:spacing w:after="0" w:line="240" w:lineRule="auto"/>
        <w:ind w:left="-567" w:right="-568"/>
        <w:jc w:val="both"/>
        <w:rPr>
          <w:rFonts w:eastAsia="Times New Roman" w:cs="Arial"/>
          <w:bCs/>
          <w:color w:val="auto"/>
          <w:sz w:val="16"/>
          <w:szCs w:val="16"/>
          <w:lang w:eastAsia="de-DE"/>
        </w:rPr>
      </w:pPr>
      <w:r w:rsidRPr="008B0237">
        <w:rPr>
          <w:rFonts w:eastAsia="Times New Roman" w:cs="Arial"/>
          <w:bCs/>
          <w:color w:val="auto"/>
          <w:sz w:val="16"/>
          <w:szCs w:val="16"/>
          <w:lang w:eastAsia="de-DE"/>
        </w:rPr>
        <w:t>Gem. der o.a. Wiederaufnahme- und Rückverlegungsregelungen werden Krankenhausaufenthalte zusammengeführt und nur eine DRG abgerechnet.</w:t>
      </w:r>
    </w:p>
    <w:p w14:paraId="15770263" w14:textId="77777777" w:rsidR="008B0237" w:rsidRPr="00107FCA" w:rsidRDefault="008B0237" w:rsidP="008B0237">
      <w:pPr>
        <w:spacing w:after="0" w:line="240" w:lineRule="auto"/>
        <w:ind w:left="-567" w:right="-568"/>
        <w:jc w:val="both"/>
        <w:rPr>
          <w:rFonts w:eastAsia="Times New Roman" w:cs="Arial"/>
          <w:b/>
          <w:bCs/>
          <w:color w:val="auto"/>
          <w:sz w:val="8"/>
          <w:szCs w:val="8"/>
          <w:lang w:eastAsia="de-DE"/>
        </w:rPr>
      </w:pPr>
    </w:p>
    <w:p w14:paraId="11A35534" w14:textId="77777777" w:rsidR="008B0237" w:rsidRPr="008B0237" w:rsidRDefault="008B0237" w:rsidP="008B0237">
      <w:pPr>
        <w:spacing w:after="0" w:line="240" w:lineRule="auto"/>
        <w:ind w:left="-567" w:right="-568"/>
        <w:jc w:val="both"/>
        <w:rPr>
          <w:rFonts w:eastAsia="Times New Roman" w:cs="Arial"/>
          <w:color w:val="auto"/>
          <w:sz w:val="16"/>
          <w:szCs w:val="16"/>
          <w:lang w:eastAsia="de-DE"/>
        </w:rPr>
      </w:pPr>
      <w:r w:rsidRPr="008B0237">
        <w:rPr>
          <w:rFonts w:eastAsia="Times New Roman" w:cs="Arial"/>
          <w:b/>
          <w:bCs/>
          <w:color w:val="auto"/>
          <w:sz w:val="16"/>
          <w:lang w:eastAsia="de-DE"/>
        </w:rPr>
        <w:t>13. Inkrafttreten</w:t>
      </w:r>
    </w:p>
    <w:p w14:paraId="42085913" w14:textId="1393873E" w:rsidR="008B0237" w:rsidRPr="008B0237" w:rsidRDefault="008B0237" w:rsidP="008B0237">
      <w:pPr>
        <w:spacing w:after="0" w:line="240" w:lineRule="auto"/>
        <w:ind w:left="-567" w:right="-568"/>
        <w:jc w:val="both"/>
        <w:rPr>
          <w:rFonts w:eastAsia="Times New Roman" w:cs="Arial"/>
          <w:color w:val="auto"/>
          <w:sz w:val="16"/>
          <w:lang w:eastAsia="de-DE"/>
        </w:rPr>
      </w:pPr>
      <w:r w:rsidRPr="008B0237">
        <w:rPr>
          <w:rFonts w:eastAsia="Times New Roman" w:cs="Arial"/>
          <w:color w:val="auto"/>
          <w:sz w:val="16"/>
          <w:lang w:eastAsia="de-DE"/>
        </w:rPr>
        <w:t xml:space="preserve">Dieser DRG-Entgelttarif tritt am </w:t>
      </w:r>
      <w:r w:rsidR="00C61E5E">
        <w:rPr>
          <w:rFonts w:eastAsia="Times New Roman" w:cs="Arial"/>
          <w:color w:val="auto"/>
          <w:sz w:val="16"/>
          <w:lang w:eastAsia="de-DE"/>
        </w:rPr>
        <w:t>01.</w:t>
      </w:r>
      <w:r w:rsidR="0086745C">
        <w:rPr>
          <w:rFonts w:eastAsia="Times New Roman" w:cs="Arial"/>
          <w:color w:val="auto"/>
          <w:sz w:val="16"/>
          <w:lang w:eastAsia="de-DE"/>
        </w:rPr>
        <w:t>10</w:t>
      </w:r>
      <w:r w:rsidR="00C57127">
        <w:rPr>
          <w:rFonts w:eastAsia="Times New Roman" w:cs="Arial"/>
          <w:color w:val="auto"/>
          <w:sz w:val="16"/>
          <w:lang w:eastAsia="de-DE"/>
        </w:rPr>
        <w:t>.2025</w:t>
      </w:r>
      <w:r w:rsidRPr="008B0237">
        <w:rPr>
          <w:rFonts w:eastAsia="Times New Roman" w:cs="Arial"/>
          <w:color w:val="auto"/>
          <w:sz w:val="16"/>
          <w:lang w:eastAsia="de-DE"/>
        </w:rPr>
        <w:t xml:space="preserve"> in Kraft. </w:t>
      </w:r>
      <w:r w:rsidRPr="008B0237">
        <w:rPr>
          <w:rFonts w:eastAsia="Times New Roman" w:cs="Arial"/>
          <w:color w:val="auto"/>
          <w:sz w:val="16"/>
          <w:szCs w:val="16"/>
          <w:lang w:eastAsia="de-DE"/>
        </w:rPr>
        <w:t xml:space="preserve">Gleichzeitig wird der Entgelttarif vom </w:t>
      </w:r>
      <w:r w:rsidR="0086745C">
        <w:rPr>
          <w:rFonts w:eastAsia="Times New Roman" w:cs="Arial"/>
          <w:color w:val="auto"/>
          <w:sz w:val="16"/>
          <w:szCs w:val="16"/>
          <w:lang w:eastAsia="de-DE"/>
        </w:rPr>
        <w:t>01.08</w:t>
      </w:r>
      <w:r w:rsidR="001E0CAD">
        <w:rPr>
          <w:rFonts w:eastAsia="Times New Roman" w:cs="Arial"/>
          <w:color w:val="auto"/>
          <w:sz w:val="16"/>
          <w:szCs w:val="16"/>
          <w:lang w:eastAsia="de-DE"/>
        </w:rPr>
        <w:t>.</w:t>
      </w:r>
      <w:r w:rsidR="00DA2298">
        <w:rPr>
          <w:rFonts w:eastAsia="Times New Roman" w:cs="Arial"/>
          <w:color w:val="auto"/>
          <w:sz w:val="16"/>
          <w:szCs w:val="16"/>
          <w:lang w:eastAsia="de-DE"/>
        </w:rPr>
        <w:t>202</w:t>
      </w:r>
      <w:r w:rsidR="001E0CAD">
        <w:rPr>
          <w:rFonts w:eastAsia="Times New Roman" w:cs="Arial"/>
          <w:color w:val="auto"/>
          <w:sz w:val="16"/>
          <w:szCs w:val="16"/>
          <w:lang w:eastAsia="de-DE"/>
        </w:rPr>
        <w:t>5</w:t>
      </w:r>
      <w:r w:rsidRPr="008B0237">
        <w:rPr>
          <w:rFonts w:eastAsia="Times New Roman" w:cs="Arial"/>
          <w:color w:val="auto"/>
          <w:sz w:val="16"/>
          <w:szCs w:val="16"/>
          <w:lang w:eastAsia="de-DE"/>
        </w:rPr>
        <w:t xml:space="preserve"> aufgehoben</w:t>
      </w:r>
      <w:r w:rsidRPr="008B0237">
        <w:rPr>
          <w:rFonts w:eastAsia="Times New Roman" w:cs="Arial"/>
          <w:color w:val="auto"/>
          <w:sz w:val="16"/>
          <w:lang w:eastAsia="de-DE"/>
        </w:rPr>
        <w:t xml:space="preserve">. Für die Fachbereiche Allgemeine Psychiatrie/ Psychotherapie, Psychosomatik und Kinder- und Jugendpsychiatrie des Bezirksklinikums Obermain und für die Tagekliniken des Bezirksklinikum Obermain in Coburg und Kronach gilt der PEPP-Entgelttarif vom </w:t>
      </w:r>
      <w:r w:rsidR="0086745C">
        <w:rPr>
          <w:rFonts w:eastAsia="Times New Roman" w:cs="Arial"/>
          <w:color w:val="auto"/>
          <w:sz w:val="16"/>
          <w:lang w:eastAsia="de-DE"/>
        </w:rPr>
        <w:t>01.10</w:t>
      </w:r>
      <w:r w:rsidR="00C57127">
        <w:rPr>
          <w:rFonts w:eastAsia="Times New Roman" w:cs="Arial"/>
          <w:color w:val="auto"/>
          <w:sz w:val="16"/>
          <w:lang w:eastAsia="de-DE"/>
        </w:rPr>
        <w:t>.2025</w:t>
      </w:r>
      <w:r w:rsidRPr="008B0237">
        <w:rPr>
          <w:rFonts w:eastAsia="Times New Roman" w:cs="Arial"/>
          <w:color w:val="auto"/>
          <w:sz w:val="16"/>
          <w:lang w:eastAsia="de-DE"/>
        </w:rPr>
        <w:t>.</w:t>
      </w:r>
    </w:p>
    <w:p w14:paraId="554DF5AF" w14:textId="77777777" w:rsidR="008B0237" w:rsidRPr="00107FCA" w:rsidRDefault="008B0237" w:rsidP="008B0237">
      <w:pPr>
        <w:spacing w:after="0" w:line="240" w:lineRule="auto"/>
        <w:ind w:left="-567" w:right="-568"/>
        <w:jc w:val="both"/>
        <w:rPr>
          <w:rFonts w:eastAsia="Times New Roman" w:cs="Arial"/>
          <w:color w:val="auto"/>
          <w:sz w:val="8"/>
          <w:szCs w:val="8"/>
          <w:lang w:eastAsia="de-DE"/>
        </w:rPr>
      </w:pPr>
    </w:p>
    <w:p w14:paraId="2AD714DD" w14:textId="77777777" w:rsidR="008B0237" w:rsidRPr="008B0237" w:rsidRDefault="008B0237" w:rsidP="008B0237">
      <w:pPr>
        <w:pBdr>
          <w:top w:val="single" w:sz="4" w:space="1" w:color="auto"/>
          <w:left w:val="single" w:sz="4" w:space="0" w:color="auto"/>
          <w:bottom w:val="single" w:sz="4" w:space="1" w:color="auto"/>
          <w:right w:val="single" w:sz="4" w:space="4" w:color="auto"/>
        </w:pBdr>
        <w:spacing w:after="0" w:line="240" w:lineRule="auto"/>
        <w:ind w:left="-567" w:right="-568"/>
        <w:jc w:val="both"/>
        <w:rPr>
          <w:rFonts w:eastAsia="Times New Roman" w:cs="Arial"/>
          <w:iCs/>
          <w:color w:val="auto"/>
          <w:sz w:val="14"/>
          <w:szCs w:val="14"/>
          <w:lang w:eastAsia="de-DE"/>
        </w:rPr>
      </w:pPr>
      <w:r w:rsidRPr="008B0237">
        <w:rPr>
          <w:rFonts w:eastAsia="Times New Roman" w:cs="Arial"/>
          <w:iCs/>
          <w:color w:val="auto"/>
          <w:sz w:val="14"/>
          <w:szCs w:val="14"/>
          <w:lang w:eastAsia="de-DE"/>
        </w:rPr>
        <w:t>Sehr geehrte Patientin, sehr geehrter Patient,</w:t>
      </w:r>
    </w:p>
    <w:p w14:paraId="18483768" w14:textId="2E04B8C8" w:rsidR="008B0237" w:rsidRPr="008B0237" w:rsidRDefault="008B0237" w:rsidP="008B0237">
      <w:pPr>
        <w:pBdr>
          <w:top w:val="single" w:sz="4" w:space="1" w:color="auto"/>
          <w:left w:val="single" w:sz="4" w:space="0" w:color="auto"/>
          <w:bottom w:val="single" w:sz="4" w:space="1" w:color="auto"/>
          <w:right w:val="single" w:sz="4" w:space="4" w:color="auto"/>
        </w:pBdr>
        <w:spacing w:after="0" w:line="240" w:lineRule="auto"/>
        <w:ind w:left="-567" w:right="-568"/>
        <w:jc w:val="both"/>
        <w:rPr>
          <w:rFonts w:eastAsia="Times New Roman" w:cs="Arial"/>
          <w:color w:val="auto"/>
          <w:sz w:val="14"/>
          <w:szCs w:val="14"/>
          <w:lang w:eastAsia="de-DE"/>
        </w:rPr>
      </w:pPr>
      <w:r w:rsidRPr="008B0237">
        <w:rPr>
          <w:rFonts w:eastAsia="Times New Roman" w:cs="Arial"/>
          <w:color w:val="auto"/>
          <w:sz w:val="14"/>
          <w:szCs w:val="14"/>
          <w:lang w:eastAsia="de-DE"/>
        </w:rPr>
        <w:t xml:space="preserve">sollten Sie zu Einzelheiten noch ergänzende Fragen haben, stehen Ihnen folgende Mitarbeiter unseres Krankenhauses hierfür gerne zur Verfügung: </w:t>
      </w:r>
      <w:r w:rsidRPr="008B0237">
        <w:rPr>
          <w:rFonts w:eastAsia="Times New Roman" w:cs="Arial"/>
          <w:iCs/>
          <w:color w:val="auto"/>
          <w:sz w:val="14"/>
          <w:szCs w:val="14"/>
          <w:lang w:eastAsia="de-DE"/>
        </w:rPr>
        <w:t xml:space="preserve">Herr B. Gehringer, Verw.-Fachwirt, Leiter Patientenadministration, Tel. (09547) 81-2207, </w:t>
      </w:r>
      <w:r w:rsidRPr="008B0237">
        <w:rPr>
          <w:rFonts w:eastAsia="Times New Roman" w:cs="Arial"/>
          <w:color w:val="auto"/>
          <w:sz w:val="14"/>
          <w:szCs w:val="14"/>
          <w:lang w:eastAsia="de-DE"/>
        </w:rPr>
        <w:t xml:space="preserve">Fr. Müller, Tel. </w:t>
      </w:r>
      <w:r w:rsidR="003D6779">
        <w:rPr>
          <w:rFonts w:eastAsia="Times New Roman" w:cs="Arial"/>
          <w:color w:val="auto"/>
          <w:sz w:val="14"/>
          <w:szCs w:val="14"/>
          <w:lang w:eastAsia="de-DE"/>
        </w:rPr>
        <w:t>-</w:t>
      </w:r>
      <w:r w:rsidRPr="008B0237">
        <w:rPr>
          <w:rFonts w:eastAsia="Times New Roman" w:cs="Arial"/>
          <w:color w:val="auto"/>
          <w:sz w:val="14"/>
          <w:szCs w:val="14"/>
          <w:lang w:eastAsia="de-DE"/>
        </w:rPr>
        <w:t xml:space="preserve">2213, </w:t>
      </w:r>
      <w:r w:rsidR="003D6779">
        <w:rPr>
          <w:rFonts w:eastAsia="Times New Roman" w:cs="Arial"/>
          <w:iCs/>
          <w:color w:val="auto"/>
          <w:sz w:val="14"/>
          <w:szCs w:val="14"/>
          <w:lang w:eastAsia="de-DE"/>
        </w:rPr>
        <w:t>Hr. Seelmann</w:t>
      </w:r>
      <w:r w:rsidRPr="008B0237">
        <w:rPr>
          <w:rFonts w:eastAsia="Times New Roman" w:cs="Arial"/>
          <w:iCs/>
          <w:color w:val="auto"/>
          <w:sz w:val="14"/>
          <w:szCs w:val="14"/>
          <w:lang w:eastAsia="de-DE"/>
        </w:rPr>
        <w:t xml:space="preserve">, Tel. </w:t>
      </w:r>
      <w:r w:rsidR="003D6779">
        <w:rPr>
          <w:rFonts w:eastAsia="Times New Roman" w:cs="Arial"/>
          <w:iCs/>
          <w:color w:val="auto"/>
          <w:sz w:val="14"/>
          <w:szCs w:val="14"/>
          <w:lang w:eastAsia="de-DE"/>
        </w:rPr>
        <w:t>-2305,</w:t>
      </w:r>
      <w:r w:rsidR="00014987">
        <w:rPr>
          <w:rFonts w:eastAsia="Times New Roman" w:cs="Arial"/>
          <w:iCs/>
          <w:color w:val="auto"/>
          <w:sz w:val="14"/>
          <w:szCs w:val="14"/>
          <w:lang w:eastAsia="de-DE"/>
        </w:rPr>
        <w:t xml:space="preserve"> Frau Schneiderbanger, Tel. -2355, </w:t>
      </w:r>
      <w:r w:rsidR="003D6779">
        <w:rPr>
          <w:rFonts w:eastAsia="Times New Roman" w:cs="Arial"/>
          <w:iCs/>
          <w:color w:val="auto"/>
          <w:sz w:val="14"/>
          <w:szCs w:val="14"/>
          <w:lang w:eastAsia="de-DE"/>
        </w:rPr>
        <w:t>Fr. Seiermann, Tel. -2925</w:t>
      </w:r>
      <w:r w:rsidR="00014987">
        <w:rPr>
          <w:rFonts w:eastAsia="Times New Roman" w:cs="Arial"/>
          <w:iCs/>
          <w:color w:val="auto"/>
          <w:sz w:val="14"/>
          <w:szCs w:val="14"/>
          <w:lang w:eastAsia="de-DE"/>
        </w:rPr>
        <w:t xml:space="preserve">, </w:t>
      </w:r>
      <w:r w:rsidRPr="008B0237">
        <w:rPr>
          <w:rFonts w:eastAsia="Times New Roman" w:cs="Arial"/>
          <w:iCs/>
          <w:color w:val="auto"/>
          <w:sz w:val="14"/>
          <w:szCs w:val="14"/>
          <w:lang w:eastAsia="de-DE"/>
        </w:rPr>
        <w:t xml:space="preserve">Fr. Adelberg, Tel. </w:t>
      </w:r>
      <w:r w:rsidR="003D6779">
        <w:rPr>
          <w:rFonts w:eastAsia="Times New Roman" w:cs="Arial"/>
          <w:iCs/>
          <w:color w:val="auto"/>
          <w:sz w:val="14"/>
          <w:szCs w:val="14"/>
          <w:lang w:eastAsia="de-DE"/>
        </w:rPr>
        <w:t>-</w:t>
      </w:r>
      <w:r w:rsidRPr="008B0237">
        <w:rPr>
          <w:rFonts w:eastAsia="Times New Roman" w:cs="Arial"/>
          <w:iCs/>
          <w:color w:val="auto"/>
          <w:sz w:val="14"/>
          <w:szCs w:val="14"/>
          <w:lang w:eastAsia="de-DE"/>
        </w:rPr>
        <w:t xml:space="preserve">2255. </w:t>
      </w:r>
      <w:r w:rsidRPr="008B0237">
        <w:rPr>
          <w:rFonts w:eastAsia="Times New Roman" w:cs="Arial"/>
          <w:color w:val="auto"/>
          <w:sz w:val="14"/>
          <w:szCs w:val="14"/>
          <w:lang w:eastAsia="de-DE"/>
        </w:rPr>
        <w:t>Gleichzeitig können Sie dort auch jederzeit Einsicht in das DRG-Klassifikationssystem mit den zugehörigen Kostengewichten sowie die zugehörigen Abrechnungsregeln nehmen. Insgesamt kann die Vergütung der allgemeinen Krankenhausleistungen und der Wahlleistungen eine nicht unerhebliche finanzielle Belastung</w:t>
      </w:r>
      <w:r w:rsidR="00BF20A2">
        <w:rPr>
          <w:rFonts w:eastAsia="Times New Roman" w:cs="Arial"/>
          <w:color w:val="auto"/>
          <w:sz w:val="14"/>
          <w:szCs w:val="14"/>
          <w:lang w:eastAsia="de-DE"/>
        </w:rPr>
        <w:t xml:space="preserve"> bedeuten</w:t>
      </w:r>
      <w:r w:rsidRPr="008B0237">
        <w:rPr>
          <w:rFonts w:eastAsia="Times New Roman" w:cs="Arial"/>
          <w:color w:val="auto"/>
          <w:sz w:val="14"/>
          <w:szCs w:val="14"/>
          <w:lang w:eastAsia="de-DE"/>
        </w:rPr>
        <w:t>. Dies gilt insbesondere für Selbstzahler. Prüfen Sie bitte, ob Sie in vollem Umfang für eine Krankenhausbehandlung versichert sind.</w:t>
      </w:r>
    </w:p>
    <w:p w14:paraId="25825172" w14:textId="77777777" w:rsidR="008B0237" w:rsidRPr="00107FCA" w:rsidRDefault="008B0237" w:rsidP="008B0237">
      <w:pPr>
        <w:spacing w:after="0" w:line="240" w:lineRule="auto"/>
        <w:ind w:left="-567" w:right="-568"/>
        <w:jc w:val="both"/>
        <w:rPr>
          <w:rFonts w:eastAsia="Times New Roman" w:cs="Arial"/>
          <w:color w:val="auto"/>
          <w:sz w:val="8"/>
          <w:szCs w:val="8"/>
          <w:lang w:eastAsia="de-DE"/>
        </w:rPr>
      </w:pPr>
    </w:p>
    <w:p w14:paraId="75E94493" w14:textId="3965CB18" w:rsidR="008B0237" w:rsidRPr="008B0237" w:rsidRDefault="008B0237" w:rsidP="00107FCA">
      <w:pPr>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 xml:space="preserve">Ebensfeld, </w:t>
      </w:r>
      <w:r w:rsidR="0086745C">
        <w:rPr>
          <w:rFonts w:eastAsia="Times New Roman" w:cs="Arial"/>
          <w:color w:val="auto"/>
          <w:sz w:val="16"/>
          <w:szCs w:val="16"/>
          <w:lang w:eastAsia="de-DE"/>
        </w:rPr>
        <w:t>01.10</w:t>
      </w:r>
      <w:r w:rsidR="00C57127">
        <w:rPr>
          <w:rFonts w:eastAsia="Times New Roman" w:cs="Arial"/>
          <w:color w:val="auto"/>
          <w:sz w:val="16"/>
          <w:szCs w:val="16"/>
          <w:lang w:eastAsia="de-DE"/>
        </w:rPr>
        <w:t>.2025</w:t>
      </w:r>
    </w:p>
    <w:p w14:paraId="0369791C" w14:textId="77777777" w:rsidR="00107FCA" w:rsidRDefault="00107FCA" w:rsidP="008B0237">
      <w:pPr>
        <w:tabs>
          <w:tab w:val="left" w:pos="3969"/>
        </w:tabs>
        <w:spacing w:after="0" w:line="240" w:lineRule="auto"/>
        <w:ind w:left="-567" w:right="-568"/>
        <w:jc w:val="both"/>
        <w:rPr>
          <w:rFonts w:eastAsia="Times New Roman" w:cs="Arial"/>
          <w:color w:val="auto"/>
          <w:sz w:val="16"/>
          <w:szCs w:val="16"/>
          <w:lang w:eastAsia="de-DE"/>
        </w:rPr>
      </w:pPr>
    </w:p>
    <w:p w14:paraId="59924DBF" w14:textId="4252F40D" w:rsidR="008B0237" w:rsidRPr="008B0237" w:rsidRDefault="008B0237" w:rsidP="008B0237">
      <w:pPr>
        <w:tabs>
          <w:tab w:val="left" w:pos="3969"/>
        </w:tabs>
        <w:spacing w:after="0" w:line="240" w:lineRule="auto"/>
        <w:ind w:left="-567" w:right="-568"/>
        <w:jc w:val="both"/>
        <w:rPr>
          <w:rFonts w:eastAsia="Times New Roman" w:cs="Arial"/>
          <w:color w:val="auto"/>
          <w:sz w:val="16"/>
          <w:szCs w:val="16"/>
          <w:lang w:eastAsia="de-DE"/>
        </w:rPr>
      </w:pPr>
      <w:r w:rsidRPr="008B0237">
        <w:rPr>
          <w:rFonts w:eastAsia="Times New Roman" w:cs="Arial"/>
          <w:color w:val="auto"/>
          <w:sz w:val="16"/>
          <w:szCs w:val="16"/>
          <w:lang w:eastAsia="de-DE"/>
        </w:rPr>
        <w:tab/>
      </w:r>
    </w:p>
    <w:p w14:paraId="6AABAE8D" w14:textId="724988C0" w:rsidR="008B0237" w:rsidRDefault="00C61E5E" w:rsidP="008B0237">
      <w:pPr>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Thomas Krosse</w:t>
      </w:r>
    </w:p>
    <w:p w14:paraId="60C96889" w14:textId="13C659F8" w:rsidR="00154A6B" w:rsidRDefault="00C61E5E" w:rsidP="00351696">
      <w:pPr>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Standortleiter</w:t>
      </w:r>
    </w:p>
    <w:p w14:paraId="3B76368B" w14:textId="1CD00B42" w:rsidR="006F7BA8" w:rsidRDefault="006F7BA8" w:rsidP="00351696">
      <w:pPr>
        <w:spacing w:after="0" w:line="240" w:lineRule="auto"/>
        <w:ind w:left="-567" w:right="-568"/>
        <w:jc w:val="both"/>
        <w:rPr>
          <w:rFonts w:eastAsia="Times New Roman" w:cs="Arial"/>
          <w:color w:val="auto"/>
          <w:sz w:val="16"/>
          <w:szCs w:val="16"/>
          <w:lang w:eastAsia="de-DE"/>
        </w:rPr>
      </w:pPr>
    </w:p>
    <w:p w14:paraId="744CB552" w14:textId="11A70A21" w:rsidR="006F7BA8" w:rsidRDefault="006F7BA8" w:rsidP="00351696">
      <w:pPr>
        <w:spacing w:after="0" w:line="240" w:lineRule="auto"/>
        <w:ind w:left="-567" w:right="-568"/>
        <w:jc w:val="both"/>
        <w:rPr>
          <w:rFonts w:eastAsia="Times New Roman" w:cs="Arial"/>
          <w:color w:val="auto"/>
          <w:sz w:val="16"/>
          <w:szCs w:val="16"/>
          <w:lang w:eastAsia="de-DE"/>
        </w:rPr>
      </w:pPr>
    </w:p>
    <w:p w14:paraId="13911AB1" w14:textId="378C8D4C" w:rsidR="006F7BA8" w:rsidRPr="00351696" w:rsidRDefault="006F7BA8" w:rsidP="00351696">
      <w:pPr>
        <w:spacing w:after="0" w:line="240" w:lineRule="auto"/>
        <w:ind w:left="-567" w:right="-568"/>
        <w:jc w:val="both"/>
        <w:rPr>
          <w:rFonts w:eastAsia="Times New Roman" w:cs="Arial"/>
          <w:color w:val="auto"/>
          <w:sz w:val="16"/>
          <w:szCs w:val="16"/>
          <w:lang w:eastAsia="de-DE"/>
        </w:rPr>
      </w:pPr>
    </w:p>
    <w:sectPr w:rsidR="006F7BA8" w:rsidRPr="00351696">
      <w:headerReference w:type="default" r:id="rId10"/>
      <w:headerReference w:type="first" r:id="rId11"/>
      <w:footerReference w:type="first" r:id="rId12"/>
      <w:pgSz w:w="11906" w:h="16838" w:code="9"/>
      <w:pgMar w:top="1134" w:right="1134" w:bottom="1134" w:left="1134" w:header="425"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154A6B" w:rsidRDefault="00F83098">
      <w:pPr>
        <w:spacing w:after="0" w:line="240" w:lineRule="auto"/>
      </w:pPr>
      <w:r>
        <w:separator/>
      </w:r>
    </w:p>
  </w:endnote>
  <w:endnote w:type="continuationSeparator" w:id="0">
    <w:p w14:paraId="60E994C3" w14:textId="77777777" w:rsidR="00154A6B" w:rsidRDefault="00F83098">
      <w:pPr>
        <w:spacing w:after="0" w:line="240" w:lineRule="auto"/>
      </w:pPr>
      <w:r>
        <w:continuationSeparator/>
      </w:r>
    </w:p>
  </w:endnote>
  <w:endnote w:type="continuationNotice" w:id="1">
    <w:p w14:paraId="2F45D18E" w14:textId="77777777" w:rsidR="00154A6B" w:rsidRDefault="00154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154A6B" w:rsidRDefault="00F83098">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0C057F06" w:rsidR="00154A6B" w:rsidRDefault="00F83098">
                          <w:r>
                            <w:rPr>
                              <w:rFonts w:cs="Arial"/>
                              <w:noProof/>
                              <w:sz w:val="18"/>
                              <w:lang w:eastAsia="de-DE"/>
                            </w:rPr>
                            <w:drawing>
                              <wp:inline distT="0" distB="0" distL="0" distR="0" wp14:anchorId="4CCD16C0" wp14:editId="73F49E8D">
                                <wp:extent cx="731520" cy="731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26"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0C057F06" w:rsidR="00154A6B" w:rsidRDefault="00F83098">
                    <w:r>
                      <w:rPr>
                        <w:rFonts w:cs="Arial"/>
                        <w:noProof/>
                        <w:sz w:val="18"/>
                        <w:lang w:eastAsia="de-DE"/>
                      </w:rPr>
                      <w:drawing>
                        <wp:inline distT="0" distB="0" distL="0" distR="0" wp14:anchorId="4CCD16C0" wp14:editId="73F49E8D">
                          <wp:extent cx="731520" cy="731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154A6B" w14:paraId="3F64359B" w14:textId="77777777">
      <w:tc>
        <w:tcPr>
          <w:tcW w:w="3020" w:type="dxa"/>
        </w:tcPr>
        <w:p w14:paraId="2023B5D4" w14:textId="49F6A7F8" w:rsidR="00154A6B" w:rsidRDefault="00F83098">
          <w:pPr>
            <w:pStyle w:val="Fuzeile"/>
            <w:rPr>
              <w:rFonts w:cs="Arial"/>
              <w:sz w:val="20"/>
              <w:szCs w:val="20"/>
            </w:rPr>
          </w:pPr>
          <w:r>
            <w:rPr>
              <w:rFonts w:cs="Arial"/>
              <w:sz w:val="20"/>
              <w:szCs w:val="20"/>
            </w:rPr>
            <w:t xml:space="preserve">Erstellt durch: Autor  </w:t>
          </w:r>
        </w:p>
        <w:p w14:paraId="1503572A" w14:textId="77777777" w:rsidR="00154A6B" w:rsidRDefault="00F83098">
          <w:pPr>
            <w:pStyle w:val="Fuzeile"/>
            <w:rPr>
              <w:rFonts w:cs="Arial"/>
              <w:sz w:val="20"/>
              <w:szCs w:val="20"/>
            </w:rPr>
          </w:pPr>
          <w:r>
            <w:rPr>
              <w:rFonts w:cs="Arial"/>
              <w:sz w:val="20"/>
              <w:szCs w:val="20"/>
            </w:rPr>
            <w:t>Am: Erstelldatum</w:t>
          </w:r>
        </w:p>
      </w:tc>
      <w:tc>
        <w:tcPr>
          <w:tcW w:w="3020" w:type="dxa"/>
        </w:tcPr>
        <w:p w14:paraId="3C33B53C" w14:textId="77777777" w:rsidR="00154A6B" w:rsidRDefault="00F83098">
          <w:pPr>
            <w:pStyle w:val="Fuzeile"/>
            <w:rPr>
              <w:rFonts w:cs="Arial"/>
              <w:sz w:val="20"/>
              <w:szCs w:val="20"/>
            </w:rPr>
          </w:pPr>
          <w:r>
            <w:rPr>
              <w:rFonts w:cs="Arial"/>
              <w:sz w:val="20"/>
              <w:szCs w:val="20"/>
            </w:rPr>
            <w:t xml:space="preserve">Prüfung durch: Prüfer  </w:t>
          </w:r>
        </w:p>
        <w:p w14:paraId="26BC8382" w14:textId="77777777" w:rsidR="00154A6B" w:rsidRDefault="00F83098">
          <w:pPr>
            <w:pStyle w:val="Fuzeile"/>
            <w:rPr>
              <w:rFonts w:cs="Arial"/>
              <w:sz w:val="20"/>
              <w:szCs w:val="20"/>
            </w:rPr>
          </w:pPr>
          <w:r>
            <w:rPr>
              <w:rFonts w:cs="Arial"/>
              <w:sz w:val="20"/>
              <w:szCs w:val="20"/>
            </w:rPr>
            <w:t xml:space="preserve">Am: Prüfdatum  </w:t>
          </w:r>
        </w:p>
      </w:tc>
      <w:tc>
        <w:tcPr>
          <w:tcW w:w="3020" w:type="dxa"/>
        </w:tcPr>
        <w:p w14:paraId="290DDB5C" w14:textId="77777777" w:rsidR="00154A6B" w:rsidRDefault="00F83098">
          <w:pPr>
            <w:pStyle w:val="Fuzeile"/>
            <w:rPr>
              <w:rFonts w:cs="Arial"/>
              <w:sz w:val="20"/>
              <w:szCs w:val="20"/>
            </w:rPr>
          </w:pPr>
          <w:r>
            <w:rPr>
              <w:rFonts w:cs="Arial"/>
              <w:sz w:val="20"/>
              <w:szCs w:val="20"/>
            </w:rPr>
            <w:t xml:space="preserve">Freigabe durch: Freigeber  </w:t>
          </w:r>
        </w:p>
        <w:p w14:paraId="13A516B1" w14:textId="77777777" w:rsidR="00154A6B" w:rsidRDefault="00F83098">
          <w:pPr>
            <w:pStyle w:val="Fuzeile"/>
            <w:rPr>
              <w:rFonts w:cs="Arial"/>
              <w:sz w:val="20"/>
              <w:szCs w:val="20"/>
            </w:rPr>
          </w:pPr>
          <w:r>
            <w:rPr>
              <w:rFonts w:cs="Arial"/>
              <w:sz w:val="20"/>
              <w:szCs w:val="20"/>
            </w:rPr>
            <w:t xml:space="preserve">Am: Freigabedatum  </w:t>
          </w:r>
        </w:p>
      </w:tc>
    </w:tr>
  </w:tbl>
  <w:p w14:paraId="05015B99" w14:textId="698BB3B3" w:rsidR="00154A6B" w:rsidRDefault="00154A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154A6B" w:rsidRDefault="00F83098">
      <w:pPr>
        <w:spacing w:after="0" w:line="240" w:lineRule="auto"/>
      </w:pPr>
      <w:r>
        <w:separator/>
      </w:r>
    </w:p>
  </w:footnote>
  <w:footnote w:type="continuationSeparator" w:id="0">
    <w:p w14:paraId="0F244342" w14:textId="77777777" w:rsidR="00154A6B" w:rsidRDefault="00F83098">
      <w:pPr>
        <w:spacing w:after="0" w:line="240" w:lineRule="auto"/>
      </w:pPr>
      <w:r>
        <w:continuationSeparator/>
      </w:r>
    </w:p>
  </w:footnote>
  <w:footnote w:type="continuationNotice" w:id="1">
    <w:p w14:paraId="72818BC0" w14:textId="77777777" w:rsidR="00154A6B" w:rsidRDefault="00154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154A6B" w14:paraId="70D52F6B" w14:textId="77777777">
      <w:tc>
        <w:tcPr>
          <w:tcW w:w="2268" w:type="dxa"/>
          <w:vAlign w:val="center"/>
        </w:tcPr>
        <w:p w14:paraId="4572639E" w14:textId="77777777" w:rsidR="00154A6B" w:rsidRDefault="00F83098">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00FB0153" w:rsidR="00154A6B" w:rsidRDefault="00F83098">
          <w:pPr>
            <w:pStyle w:val="Kopfzeile"/>
            <w:jc w:val="center"/>
            <w:rPr>
              <w:b/>
            </w:rPr>
          </w:pPr>
          <w:bookmarkStart w:id="1" w:name="Dokumententitel"/>
          <w:r>
            <w:rPr>
              <w:b/>
            </w:rPr>
            <w:t>DRG Entgelttarif - Bezirksklinikum Obermain</w:t>
          </w:r>
          <w:bookmarkEnd w:id="1"/>
        </w:p>
      </w:tc>
      <w:tc>
        <w:tcPr>
          <w:tcW w:w="2442" w:type="dxa"/>
        </w:tcPr>
        <w:p w14:paraId="383513E3" w14:textId="26CC8AD4" w:rsidR="00154A6B" w:rsidRDefault="00F83098">
          <w:pPr>
            <w:pStyle w:val="Kopfzeile"/>
            <w:rPr>
              <w:sz w:val="16"/>
              <w:szCs w:val="20"/>
            </w:rPr>
          </w:pPr>
          <w:bookmarkStart w:id="2" w:name="Dokumentenart"/>
          <w:r>
            <w:rPr>
              <w:sz w:val="16"/>
              <w:szCs w:val="20"/>
            </w:rPr>
            <w:t>Organisationsverfügung</w:t>
          </w:r>
          <w:bookmarkEnd w:id="2"/>
          <w:r>
            <w:rPr>
              <w:sz w:val="16"/>
              <w:szCs w:val="20"/>
            </w:rPr>
            <w:t xml:space="preserve"> </w:t>
          </w:r>
        </w:p>
        <w:p w14:paraId="6748C41A" w14:textId="77777777" w:rsidR="00154A6B" w:rsidRDefault="00154A6B">
          <w:pPr>
            <w:pStyle w:val="Kopfzeile"/>
            <w:rPr>
              <w:sz w:val="12"/>
              <w:szCs w:val="20"/>
            </w:rPr>
          </w:pPr>
        </w:p>
        <w:p w14:paraId="6D981513" w14:textId="287FB617" w:rsidR="00154A6B" w:rsidRDefault="00F83098">
          <w:pPr>
            <w:pStyle w:val="Kopfzeile"/>
            <w:rPr>
              <w:sz w:val="16"/>
              <w:szCs w:val="20"/>
            </w:rPr>
          </w:pPr>
          <w:r>
            <w:rPr>
              <w:sz w:val="16"/>
              <w:szCs w:val="20"/>
            </w:rPr>
            <w:t xml:space="preserve">Revision: </w:t>
          </w:r>
          <w:r w:rsidR="007211BD">
            <w:rPr>
              <w:sz w:val="16"/>
              <w:szCs w:val="20"/>
            </w:rPr>
            <w:t>61</w:t>
          </w:r>
        </w:p>
        <w:p w14:paraId="7E6D6EDD" w14:textId="77777777" w:rsidR="00154A6B" w:rsidRDefault="00154A6B">
          <w:pPr>
            <w:pStyle w:val="Kopfzeile"/>
            <w:rPr>
              <w:sz w:val="12"/>
              <w:szCs w:val="20"/>
            </w:rPr>
          </w:pPr>
        </w:p>
        <w:p w14:paraId="474302F4" w14:textId="5430F0D5" w:rsidR="00154A6B" w:rsidRDefault="00F83098">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FB0047">
            <w:rPr>
              <w:noProof/>
              <w:sz w:val="16"/>
              <w:szCs w:val="20"/>
            </w:rPr>
            <w:t>2</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FB0047">
            <w:rPr>
              <w:noProof/>
              <w:sz w:val="16"/>
              <w:szCs w:val="20"/>
            </w:rPr>
            <w:t>3</w:t>
          </w:r>
          <w:r>
            <w:rPr>
              <w:sz w:val="16"/>
              <w:szCs w:val="20"/>
            </w:rPr>
            <w:fldChar w:fldCharType="end"/>
          </w:r>
        </w:p>
      </w:tc>
    </w:tr>
  </w:tbl>
  <w:p w14:paraId="5A47489C" w14:textId="77777777" w:rsidR="00154A6B" w:rsidRDefault="00154A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154A6B" w14:paraId="51DF6ABB" w14:textId="77777777">
      <w:tc>
        <w:tcPr>
          <w:tcW w:w="1696" w:type="dxa"/>
          <w:vAlign w:val="center"/>
        </w:tcPr>
        <w:p w14:paraId="3CA5051A" w14:textId="77777777" w:rsidR="00154A6B" w:rsidRDefault="00F83098">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154A6B" w:rsidRDefault="00F83098">
          <w:pPr>
            <w:pStyle w:val="Kopfzeile"/>
            <w:spacing w:after="120"/>
            <w:jc w:val="center"/>
            <w:rPr>
              <w:rFonts w:cs="Arial"/>
              <w:sz w:val="20"/>
            </w:rPr>
          </w:pPr>
          <w:r>
            <w:rPr>
              <w:rFonts w:cs="Arial"/>
              <w:sz w:val="20"/>
            </w:rPr>
            <w:t>Einrichtungsbezeichnung</w:t>
          </w:r>
        </w:p>
        <w:p w14:paraId="1EC41724" w14:textId="227CD249" w:rsidR="00154A6B" w:rsidRDefault="00F83098">
          <w:pPr>
            <w:pStyle w:val="Kopfzeile"/>
            <w:spacing w:after="120"/>
            <w:jc w:val="center"/>
            <w:rPr>
              <w:rFonts w:cs="Arial"/>
              <w:b/>
            </w:rPr>
          </w:pPr>
          <w:r>
            <w:rPr>
              <w:rFonts w:cs="Arial"/>
              <w:b/>
            </w:rPr>
            <w:t>Dokumententitel</w:t>
          </w:r>
        </w:p>
      </w:tc>
      <w:tc>
        <w:tcPr>
          <w:tcW w:w="1835" w:type="dxa"/>
        </w:tcPr>
        <w:p w14:paraId="63B89293" w14:textId="77777777" w:rsidR="00154A6B" w:rsidRDefault="00F83098">
          <w:pPr>
            <w:pStyle w:val="Kopfzeile"/>
            <w:rPr>
              <w:rFonts w:cs="Arial"/>
              <w:sz w:val="18"/>
            </w:rPr>
          </w:pPr>
          <w:r>
            <w:rPr>
              <w:rFonts w:cs="Arial"/>
              <w:sz w:val="18"/>
            </w:rPr>
            <w:t xml:space="preserve">Dokumentenart  </w:t>
          </w:r>
        </w:p>
        <w:p w14:paraId="3ADBEAB8" w14:textId="77777777" w:rsidR="00154A6B" w:rsidRDefault="00154A6B">
          <w:pPr>
            <w:pStyle w:val="Kopfzeile"/>
            <w:rPr>
              <w:rFonts w:cs="Arial"/>
              <w:sz w:val="18"/>
            </w:rPr>
          </w:pPr>
        </w:p>
        <w:p w14:paraId="21C85C1A" w14:textId="77777777" w:rsidR="00154A6B" w:rsidRDefault="00F83098">
          <w:pPr>
            <w:pStyle w:val="Kopfzeile"/>
            <w:rPr>
              <w:rFonts w:cs="Arial"/>
              <w:sz w:val="18"/>
            </w:rPr>
          </w:pPr>
          <w:r>
            <w:rPr>
              <w:rFonts w:cs="Arial"/>
              <w:sz w:val="18"/>
            </w:rPr>
            <w:t xml:space="preserve">Revision: xx  </w:t>
          </w:r>
        </w:p>
        <w:p w14:paraId="1E822152" w14:textId="77777777" w:rsidR="00154A6B" w:rsidRDefault="00154A6B">
          <w:pPr>
            <w:pStyle w:val="Kopfzeile"/>
            <w:rPr>
              <w:rFonts w:cs="Arial"/>
              <w:sz w:val="18"/>
            </w:rPr>
          </w:pPr>
        </w:p>
        <w:p w14:paraId="01451265" w14:textId="56EAACB6" w:rsidR="00154A6B" w:rsidRDefault="00F83098">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sidR="00EA30D4">
            <w:rPr>
              <w:rFonts w:cs="Arial"/>
              <w:bCs/>
              <w:noProof/>
              <w:sz w:val="18"/>
            </w:rPr>
            <w:t>3</w:t>
          </w:r>
          <w:r>
            <w:rPr>
              <w:rFonts w:cs="Arial"/>
              <w:bCs/>
              <w:sz w:val="18"/>
            </w:rPr>
            <w:fldChar w:fldCharType="end"/>
          </w:r>
        </w:p>
      </w:tc>
    </w:tr>
  </w:tbl>
  <w:p w14:paraId="75A9BE53" w14:textId="621CE61D" w:rsidR="00154A6B" w:rsidRDefault="00154A6B">
    <w:pPr>
      <w:pStyle w:val="Kopfzeile"/>
      <w:rPr>
        <w:rFonts w:cs="Arial"/>
        <w:sz w:val="18"/>
      </w:rPr>
    </w:pPr>
  </w:p>
  <w:p w14:paraId="2089661A" w14:textId="77777777" w:rsidR="00154A6B" w:rsidRDefault="00154A6B">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D42B0"/>
    <w:multiLevelType w:val="hybridMultilevel"/>
    <w:tmpl w:val="F2C6480C"/>
    <w:lvl w:ilvl="0" w:tplc="C8A048A2">
      <w:start w:val="1"/>
      <w:numFmt w:val="decimal"/>
      <w:lvlText w:val="%1."/>
      <w:lvlJc w:val="left"/>
      <w:pPr>
        <w:ind w:left="-207" w:hanging="360"/>
      </w:pPr>
    </w:lvl>
    <w:lvl w:ilvl="1" w:tplc="04070019">
      <w:start w:val="1"/>
      <w:numFmt w:val="lowerLetter"/>
      <w:lvlText w:val="%2."/>
      <w:lvlJc w:val="left"/>
      <w:pPr>
        <w:ind w:left="513" w:hanging="360"/>
      </w:pPr>
    </w:lvl>
    <w:lvl w:ilvl="2" w:tplc="0407001B">
      <w:start w:val="1"/>
      <w:numFmt w:val="lowerRoman"/>
      <w:lvlText w:val="%3."/>
      <w:lvlJc w:val="right"/>
      <w:pPr>
        <w:ind w:left="1233" w:hanging="180"/>
      </w:pPr>
    </w:lvl>
    <w:lvl w:ilvl="3" w:tplc="0407000F">
      <w:start w:val="1"/>
      <w:numFmt w:val="decimal"/>
      <w:lvlText w:val="%4."/>
      <w:lvlJc w:val="left"/>
      <w:pPr>
        <w:ind w:left="1953" w:hanging="360"/>
      </w:pPr>
    </w:lvl>
    <w:lvl w:ilvl="4" w:tplc="04070019">
      <w:start w:val="1"/>
      <w:numFmt w:val="lowerLetter"/>
      <w:lvlText w:val="%5."/>
      <w:lvlJc w:val="left"/>
      <w:pPr>
        <w:ind w:left="2673" w:hanging="360"/>
      </w:pPr>
    </w:lvl>
    <w:lvl w:ilvl="5" w:tplc="0407001B">
      <w:start w:val="1"/>
      <w:numFmt w:val="lowerRoman"/>
      <w:lvlText w:val="%6."/>
      <w:lvlJc w:val="right"/>
      <w:pPr>
        <w:ind w:left="3393" w:hanging="180"/>
      </w:pPr>
    </w:lvl>
    <w:lvl w:ilvl="6" w:tplc="0407000F">
      <w:start w:val="1"/>
      <w:numFmt w:val="decimal"/>
      <w:lvlText w:val="%7."/>
      <w:lvlJc w:val="left"/>
      <w:pPr>
        <w:ind w:left="4113" w:hanging="360"/>
      </w:pPr>
    </w:lvl>
    <w:lvl w:ilvl="7" w:tplc="04070019">
      <w:start w:val="1"/>
      <w:numFmt w:val="lowerLetter"/>
      <w:lvlText w:val="%8."/>
      <w:lvlJc w:val="left"/>
      <w:pPr>
        <w:ind w:left="4833" w:hanging="360"/>
      </w:pPr>
    </w:lvl>
    <w:lvl w:ilvl="8" w:tplc="0407001B">
      <w:start w:val="1"/>
      <w:numFmt w:val="lowerRoman"/>
      <w:lvlText w:val="%9."/>
      <w:lvlJc w:val="right"/>
      <w:pPr>
        <w:ind w:left="5553" w:hanging="180"/>
      </w:pPr>
    </w:lvl>
  </w:abstractNum>
  <w:abstractNum w:abstractNumId="1"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1C186EE0"/>
    <w:multiLevelType w:val="hybridMultilevel"/>
    <w:tmpl w:val="B3DA308E"/>
    <w:lvl w:ilvl="0" w:tplc="C8A048A2">
      <w:start w:val="1"/>
      <w:numFmt w:val="decimal"/>
      <w:lvlText w:val="%1."/>
      <w:lvlJc w:val="left"/>
      <w:pPr>
        <w:ind w:left="-207"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FBB4E04"/>
    <w:multiLevelType w:val="hybridMultilevel"/>
    <w:tmpl w:val="9C2484D2"/>
    <w:lvl w:ilvl="0" w:tplc="DCECEA06">
      <w:start w:val="1"/>
      <w:numFmt w:val="lowerLetter"/>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4"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61CA4766"/>
    <w:multiLevelType w:val="hybridMultilevel"/>
    <w:tmpl w:val="9E523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14C3377"/>
    <w:multiLevelType w:val="hybridMultilevel"/>
    <w:tmpl w:val="EE70CD78"/>
    <w:lvl w:ilvl="0" w:tplc="E9D05CF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690CDB"/>
    <w:multiLevelType w:val="hybridMultilevel"/>
    <w:tmpl w:val="BA200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7"/>
  </w:num>
  <w:num w:numId="10">
    <w:abstractNumId w:val="8"/>
  </w:num>
  <w:num w:numId="11">
    <w:abstractNumId w:val="5"/>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5B3"/>
    <w:rsid w:val="000077DA"/>
    <w:rsid w:val="00007889"/>
    <w:rsid w:val="00007D6E"/>
    <w:rsid w:val="00007E2E"/>
    <w:rsid w:val="00010156"/>
    <w:rsid w:val="00010212"/>
    <w:rsid w:val="00010B2D"/>
    <w:rsid w:val="00010E56"/>
    <w:rsid w:val="00011925"/>
    <w:rsid w:val="00011C5C"/>
    <w:rsid w:val="00012804"/>
    <w:rsid w:val="00012AD3"/>
    <w:rsid w:val="00014987"/>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5055"/>
    <w:rsid w:val="000369AE"/>
    <w:rsid w:val="00036FBF"/>
    <w:rsid w:val="00037323"/>
    <w:rsid w:val="000375A7"/>
    <w:rsid w:val="00037804"/>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52B"/>
    <w:rsid w:val="00050B76"/>
    <w:rsid w:val="00050BDE"/>
    <w:rsid w:val="0005198D"/>
    <w:rsid w:val="00051D28"/>
    <w:rsid w:val="00051D94"/>
    <w:rsid w:val="00051DAE"/>
    <w:rsid w:val="00051E4B"/>
    <w:rsid w:val="0005313B"/>
    <w:rsid w:val="000547BB"/>
    <w:rsid w:val="00054B1D"/>
    <w:rsid w:val="00055AA8"/>
    <w:rsid w:val="00055C0E"/>
    <w:rsid w:val="00055D95"/>
    <w:rsid w:val="000564EC"/>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FEF"/>
    <w:rsid w:val="00065CB8"/>
    <w:rsid w:val="00065E65"/>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3BAE"/>
    <w:rsid w:val="00084CB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59A"/>
    <w:rsid w:val="0009659F"/>
    <w:rsid w:val="000965B8"/>
    <w:rsid w:val="00096E58"/>
    <w:rsid w:val="00097A6E"/>
    <w:rsid w:val="000A0CE4"/>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79C"/>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6668"/>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07FCA"/>
    <w:rsid w:val="00110139"/>
    <w:rsid w:val="0011162F"/>
    <w:rsid w:val="00111A9D"/>
    <w:rsid w:val="00111C82"/>
    <w:rsid w:val="00111CE5"/>
    <w:rsid w:val="00111FD0"/>
    <w:rsid w:val="00112083"/>
    <w:rsid w:val="001129F3"/>
    <w:rsid w:val="001151C7"/>
    <w:rsid w:val="00115F1D"/>
    <w:rsid w:val="00116095"/>
    <w:rsid w:val="00116C02"/>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2E44"/>
    <w:rsid w:val="00134490"/>
    <w:rsid w:val="00135296"/>
    <w:rsid w:val="00135352"/>
    <w:rsid w:val="00135B61"/>
    <w:rsid w:val="001360B3"/>
    <w:rsid w:val="00136929"/>
    <w:rsid w:val="00136B23"/>
    <w:rsid w:val="00137189"/>
    <w:rsid w:val="00140A7E"/>
    <w:rsid w:val="00140FA3"/>
    <w:rsid w:val="00141376"/>
    <w:rsid w:val="00142202"/>
    <w:rsid w:val="00142460"/>
    <w:rsid w:val="00142B4A"/>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4A6B"/>
    <w:rsid w:val="001555A7"/>
    <w:rsid w:val="001558EF"/>
    <w:rsid w:val="00156F66"/>
    <w:rsid w:val="00160C8A"/>
    <w:rsid w:val="001610AA"/>
    <w:rsid w:val="0016120C"/>
    <w:rsid w:val="001612E4"/>
    <w:rsid w:val="0016133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507A"/>
    <w:rsid w:val="00185C46"/>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C5F"/>
    <w:rsid w:val="001C3DA2"/>
    <w:rsid w:val="001C4D57"/>
    <w:rsid w:val="001C5CAF"/>
    <w:rsid w:val="001C5D5A"/>
    <w:rsid w:val="001C6445"/>
    <w:rsid w:val="001C6D0E"/>
    <w:rsid w:val="001D058D"/>
    <w:rsid w:val="001D098C"/>
    <w:rsid w:val="001D0A45"/>
    <w:rsid w:val="001D0B69"/>
    <w:rsid w:val="001D0CF7"/>
    <w:rsid w:val="001D1F5A"/>
    <w:rsid w:val="001D230F"/>
    <w:rsid w:val="001D280F"/>
    <w:rsid w:val="001D2997"/>
    <w:rsid w:val="001D2D0E"/>
    <w:rsid w:val="001D32D1"/>
    <w:rsid w:val="001D32D6"/>
    <w:rsid w:val="001D4C25"/>
    <w:rsid w:val="001D4E73"/>
    <w:rsid w:val="001D5214"/>
    <w:rsid w:val="001D5275"/>
    <w:rsid w:val="001D5747"/>
    <w:rsid w:val="001D57FC"/>
    <w:rsid w:val="001D5B44"/>
    <w:rsid w:val="001D62FF"/>
    <w:rsid w:val="001E064C"/>
    <w:rsid w:val="001E0CAD"/>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6C9"/>
    <w:rsid w:val="002129C6"/>
    <w:rsid w:val="00212CB1"/>
    <w:rsid w:val="00213C8C"/>
    <w:rsid w:val="00213D7E"/>
    <w:rsid w:val="00214006"/>
    <w:rsid w:val="002146CB"/>
    <w:rsid w:val="00215D48"/>
    <w:rsid w:val="002160F7"/>
    <w:rsid w:val="00216871"/>
    <w:rsid w:val="002174DC"/>
    <w:rsid w:val="00217562"/>
    <w:rsid w:val="00217FA9"/>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6A7"/>
    <w:rsid w:val="002377C8"/>
    <w:rsid w:val="00237C5A"/>
    <w:rsid w:val="002405E0"/>
    <w:rsid w:val="00241949"/>
    <w:rsid w:val="00243F61"/>
    <w:rsid w:val="002444CD"/>
    <w:rsid w:val="002453AE"/>
    <w:rsid w:val="002455A1"/>
    <w:rsid w:val="00245755"/>
    <w:rsid w:val="002469CC"/>
    <w:rsid w:val="002475DB"/>
    <w:rsid w:val="00250630"/>
    <w:rsid w:val="00250C6F"/>
    <w:rsid w:val="00250CFF"/>
    <w:rsid w:val="00251574"/>
    <w:rsid w:val="00251593"/>
    <w:rsid w:val="00251CA2"/>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0E0"/>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294D"/>
    <w:rsid w:val="00272B4A"/>
    <w:rsid w:val="00273582"/>
    <w:rsid w:val="002747F3"/>
    <w:rsid w:val="00275E5C"/>
    <w:rsid w:val="0027705E"/>
    <w:rsid w:val="00277679"/>
    <w:rsid w:val="0028067C"/>
    <w:rsid w:val="00280D26"/>
    <w:rsid w:val="0028105F"/>
    <w:rsid w:val="00281C4E"/>
    <w:rsid w:val="00282493"/>
    <w:rsid w:val="00282819"/>
    <w:rsid w:val="00282A22"/>
    <w:rsid w:val="00282EB9"/>
    <w:rsid w:val="002831E0"/>
    <w:rsid w:val="0028331C"/>
    <w:rsid w:val="00283D51"/>
    <w:rsid w:val="0028462E"/>
    <w:rsid w:val="00285051"/>
    <w:rsid w:val="002856B9"/>
    <w:rsid w:val="00286AE0"/>
    <w:rsid w:val="00290A92"/>
    <w:rsid w:val="00290AAD"/>
    <w:rsid w:val="00291015"/>
    <w:rsid w:val="00292E1B"/>
    <w:rsid w:val="002931D7"/>
    <w:rsid w:val="002938D7"/>
    <w:rsid w:val="0029474C"/>
    <w:rsid w:val="00294BEC"/>
    <w:rsid w:val="00294F3C"/>
    <w:rsid w:val="00296BB2"/>
    <w:rsid w:val="00296F3B"/>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6050"/>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3EBC"/>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07E7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03D0"/>
    <w:rsid w:val="003413EE"/>
    <w:rsid w:val="003416D1"/>
    <w:rsid w:val="00341ADB"/>
    <w:rsid w:val="00343B71"/>
    <w:rsid w:val="0034420B"/>
    <w:rsid w:val="00344616"/>
    <w:rsid w:val="003456D1"/>
    <w:rsid w:val="00350103"/>
    <w:rsid w:val="0035094B"/>
    <w:rsid w:val="00351696"/>
    <w:rsid w:val="0035170B"/>
    <w:rsid w:val="003524ED"/>
    <w:rsid w:val="00352DF1"/>
    <w:rsid w:val="003533EA"/>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CEB"/>
    <w:rsid w:val="003708AB"/>
    <w:rsid w:val="00370A81"/>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5C61"/>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0A22"/>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C75FC"/>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79"/>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1EFC"/>
    <w:rsid w:val="0040241E"/>
    <w:rsid w:val="00402E24"/>
    <w:rsid w:val="004032DE"/>
    <w:rsid w:val="00403642"/>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0CF"/>
    <w:rsid w:val="00422608"/>
    <w:rsid w:val="00422F95"/>
    <w:rsid w:val="004232BC"/>
    <w:rsid w:val="00423546"/>
    <w:rsid w:val="00424F67"/>
    <w:rsid w:val="004256BD"/>
    <w:rsid w:val="00425A67"/>
    <w:rsid w:val="004266FA"/>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6D9C"/>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6E0C"/>
    <w:rsid w:val="004670B7"/>
    <w:rsid w:val="004670F3"/>
    <w:rsid w:val="004678AB"/>
    <w:rsid w:val="00467B34"/>
    <w:rsid w:val="00470191"/>
    <w:rsid w:val="004702A8"/>
    <w:rsid w:val="00470A89"/>
    <w:rsid w:val="00471EB9"/>
    <w:rsid w:val="00472C60"/>
    <w:rsid w:val="00472DCE"/>
    <w:rsid w:val="00472FA2"/>
    <w:rsid w:val="00472FED"/>
    <w:rsid w:val="004730F4"/>
    <w:rsid w:val="004732A2"/>
    <w:rsid w:val="00474390"/>
    <w:rsid w:val="004743B2"/>
    <w:rsid w:val="0047578F"/>
    <w:rsid w:val="00475DBB"/>
    <w:rsid w:val="00476510"/>
    <w:rsid w:val="00477217"/>
    <w:rsid w:val="00477B15"/>
    <w:rsid w:val="00477C8A"/>
    <w:rsid w:val="00477EB3"/>
    <w:rsid w:val="0048189B"/>
    <w:rsid w:val="00481B59"/>
    <w:rsid w:val="00481BC4"/>
    <w:rsid w:val="00481DBD"/>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53CA"/>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4B3"/>
    <w:rsid w:val="004C681C"/>
    <w:rsid w:val="004C712E"/>
    <w:rsid w:val="004C78C3"/>
    <w:rsid w:val="004C7AB8"/>
    <w:rsid w:val="004C7C9E"/>
    <w:rsid w:val="004D0D50"/>
    <w:rsid w:val="004D0E6D"/>
    <w:rsid w:val="004D1C05"/>
    <w:rsid w:val="004D28DE"/>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76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51B"/>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6A1"/>
    <w:rsid w:val="00526AD3"/>
    <w:rsid w:val="005278C2"/>
    <w:rsid w:val="00527E34"/>
    <w:rsid w:val="0053156F"/>
    <w:rsid w:val="0053345D"/>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C9D"/>
    <w:rsid w:val="00571E8E"/>
    <w:rsid w:val="0057224C"/>
    <w:rsid w:val="00572369"/>
    <w:rsid w:val="005725E3"/>
    <w:rsid w:val="00573BAB"/>
    <w:rsid w:val="00573CAD"/>
    <w:rsid w:val="00574A0C"/>
    <w:rsid w:val="00575038"/>
    <w:rsid w:val="00575772"/>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689"/>
    <w:rsid w:val="00585999"/>
    <w:rsid w:val="00590196"/>
    <w:rsid w:val="0059032D"/>
    <w:rsid w:val="00590955"/>
    <w:rsid w:val="00591728"/>
    <w:rsid w:val="00592024"/>
    <w:rsid w:val="00592528"/>
    <w:rsid w:val="0059257B"/>
    <w:rsid w:val="005931A4"/>
    <w:rsid w:val="0059386F"/>
    <w:rsid w:val="00593CC2"/>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135"/>
    <w:rsid w:val="005B240E"/>
    <w:rsid w:val="005B31FD"/>
    <w:rsid w:val="005B40E3"/>
    <w:rsid w:val="005B544A"/>
    <w:rsid w:val="005B5E23"/>
    <w:rsid w:val="005B66C3"/>
    <w:rsid w:val="005B6F95"/>
    <w:rsid w:val="005B756B"/>
    <w:rsid w:val="005B7826"/>
    <w:rsid w:val="005B7A17"/>
    <w:rsid w:val="005C0235"/>
    <w:rsid w:val="005C0A14"/>
    <w:rsid w:val="005C1BD1"/>
    <w:rsid w:val="005C1C55"/>
    <w:rsid w:val="005C1F45"/>
    <w:rsid w:val="005C22CE"/>
    <w:rsid w:val="005C23D0"/>
    <w:rsid w:val="005C4681"/>
    <w:rsid w:val="005C4ACD"/>
    <w:rsid w:val="005C56F2"/>
    <w:rsid w:val="005C6EA3"/>
    <w:rsid w:val="005C7984"/>
    <w:rsid w:val="005C7D5F"/>
    <w:rsid w:val="005D0411"/>
    <w:rsid w:val="005D0451"/>
    <w:rsid w:val="005D0A76"/>
    <w:rsid w:val="005D0A89"/>
    <w:rsid w:val="005D1C47"/>
    <w:rsid w:val="005D2F74"/>
    <w:rsid w:val="005D3605"/>
    <w:rsid w:val="005D4661"/>
    <w:rsid w:val="005D4AFA"/>
    <w:rsid w:val="005D4DAD"/>
    <w:rsid w:val="005D6738"/>
    <w:rsid w:val="005D67DF"/>
    <w:rsid w:val="005D6C7C"/>
    <w:rsid w:val="005D6CE7"/>
    <w:rsid w:val="005D71D2"/>
    <w:rsid w:val="005D785C"/>
    <w:rsid w:val="005D799F"/>
    <w:rsid w:val="005D7EBB"/>
    <w:rsid w:val="005E0342"/>
    <w:rsid w:val="005E136A"/>
    <w:rsid w:val="005E1E2D"/>
    <w:rsid w:val="005E1E62"/>
    <w:rsid w:val="005E2E7A"/>
    <w:rsid w:val="005E36AD"/>
    <w:rsid w:val="005E3759"/>
    <w:rsid w:val="005E3765"/>
    <w:rsid w:val="005E40DC"/>
    <w:rsid w:val="005E530B"/>
    <w:rsid w:val="005E579C"/>
    <w:rsid w:val="005E6180"/>
    <w:rsid w:val="005E666D"/>
    <w:rsid w:val="005E75D4"/>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7C9"/>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2BB"/>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66E9"/>
    <w:rsid w:val="006272B9"/>
    <w:rsid w:val="006307FA"/>
    <w:rsid w:val="00631268"/>
    <w:rsid w:val="006315DC"/>
    <w:rsid w:val="00631973"/>
    <w:rsid w:val="00631E36"/>
    <w:rsid w:val="0063219B"/>
    <w:rsid w:val="00632A98"/>
    <w:rsid w:val="00633174"/>
    <w:rsid w:val="006331F9"/>
    <w:rsid w:val="00633A90"/>
    <w:rsid w:val="00633E70"/>
    <w:rsid w:val="00634219"/>
    <w:rsid w:val="00634552"/>
    <w:rsid w:val="0063455E"/>
    <w:rsid w:val="0063495D"/>
    <w:rsid w:val="00634CF1"/>
    <w:rsid w:val="00635204"/>
    <w:rsid w:val="00635DEF"/>
    <w:rsid w:val="00635F1B"/>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4F1"/>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5B6"/>
    <w:rsid w:val="006D6982"/>
    <w:rsid w:val="006D6CC4"/>
    <w:rsid w:val="006D6F06"/>
    <w:rsid w:val="006D765B"/>
    <w:rsid w:val="006D7E2F"/>
    <w:rsid w:val="006E0B74"/>
    <w:rsid w:val="006E1674"/>
    <w:rsid w:val="006E16A8"/>
    <w:rsid w:val="006E1F39"/>
    <w:rsid w:val="006E2799"/>
    <w:rsid w:val="006E2FBD"/>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05D"/>
    <w:rsid w:val="006F5D08"/>
    <w:rsid w:val="006F64CA"/>
    <w:rsid w:val="006F6AC9"/>
    <w:rsid w:val="006F6BF6"/>
    <w:rsid w:val="006F7BA8"/>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1BD"/>
    <w:rsid w:val="00721857"/>
    <w:rsid w:val="00721B09"/>
    <w:rsid w:val="0072214A"/>
    <w:rsid w:val="00722A20"/>
    <w:rsid w:val="00722AA6"/>
    <w:rsid w:val="00722EE4"/>
    <w:rsid w:val="00723248"/>
    <w:rsid w:val="007237EB"/>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23B0"/>
    <w:rsid w:val="007423FD"/>
    <w:rsid w:val="007428D7"/>
    <w:rsid w:val="0074368C"/>
    <w:rsid w:val="00745849"/>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50D"/>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264"/>
    <w:rsid w:val="007934D0"/>
    <w:rsid w:val="0079425E"/>
    <w:rsid w:val="0079478C"/>
    <w:rsid w:val="00794BFE"/>
    <w:rsid w:val="00794EED"/>
    <w:rsid w:val="00794F3A"/>
    <w:rsid w:val="00795761"/>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9D5"/>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43F"/>
    <w:rsid w:val="007D7567"/>
    <w:rsid w:val="007E00B3"/>
    <w:rsid w:val="007E04CF"/>
    <w:rsid w:val="007E0D5F"/>
    <w:rsid w:val="007E2064"/>
    <w:rsid w:val="007E2977"/>
    <w:rsid w:val="007E2A73"/>
    <w:rsid w:val="007E3191"/>
    <w:rsid w:val="007E364E"/>
    <w:rsid w:val="007E4584"/>
    <w:rsid w:val="007E4DAA"/>
    <w:rsid w:val="007E6BA5"/>
    <w:rsid w:val="007F2259"/>
    <w:rsid w:val="007F2457"/>
    <w:rsid w:val="007F2B34"/>
    <w:rsid w:val="007F2D87"/>
    <w:rsid w:val="007F30A8"/>
    <w:rsid w:val="007F3A59"/>
    <w:rsid w:val="007F3E34"/>
    <w:rsid w:val="007F5A75"/>
    <w:rsid w:val="007F6CC9"/>
    <w:rsid w:val="007F6F96"/>
    <w:rsid w:val="007F708B"/>
    <w:rsid w:val="007F757C"/>
    <w:rsid w:val="007F7CFF"/>
    <w:rsid w:val="00800094"/>
    <w:rsid w:val="00800CB0"/>
    <w:rsid w:val="00800CB8"/>
    <w:rsid w:val="0080118E"/>
    <w:rsid w:val="008016CD"/>
    <w:rsid w:val="0080202A"/>
    <w:rsid w:val="008026C6"/>
    <w:rsid w:val="00803305"/>
    <w:rsid w:val="00803482"/>
    <w:rsid w:val="00803FA1"/>
    <w:rsid w:val="0080404B"/>
    <w:rsid w:val="008041E8"/>
    <w:rsid w:val="00804626"/>
    <w:rsid w:val="00804CD4"/>
    <w:rsid w:val="008052F4"/>
    <w:rsid w:val="00805F7A"/>
    <w:rsid w:val="00806562"/>
    <w:rsid w:val="00806863"/>
    <w:rsid w:val="00806D9F"/>
    <w:rsid w:val="00807415"/>
    <w:rsid w:val="00807423"/>
    <w:rsid w:val="0081085F"/>
    <w:rsid w:val="00810C4C"/>
    <w:rsid w:val="00812091"/>
    <w:rsid w:val="0081213F"/>
    <w:rsid w:val="0081222E"/>
    <w:rsid w:val="008123B1"/>
    <w:rsid w:val="0081271E"/>
    <w:rsid w:val="00812736"/>
    <w:rsid w:val="008134FF"/>
    <w:rsid w:val="00817509"/>
    <w:rsid w:val="00817800"/>
    <w:rsid w:val="008206F7"/>
    <w:rsid w:val="00821353"/>
    <w:rsid w:val="0082251E"/>
    <w:rsid w:val="00822E0E"/>
    <w:rsid w:val="00823076"/>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DA2"/>
    <w:rsid w:val="00844F5A"/>
    <w:rsid w:val="008451F5"/>
    <w:rsid w:val="008462AC"/>
    <w:rsid w:val="008466DA"/>
    <w:rsid w:val="00846A8D"/>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EC7"/>
    <w:rsid w:val="00861F7A"/>
    <w:rsid w:val="00862038"/>
    <w:rsid w:val="00862656"/>
    <w:rsid w:val="008628B7"/>
    <w:rsid w:val="00862B65"/>
    <w:rsid w:val="00862DEA"/>
    <w:rsid w:val="00863607"/>
    <w:rsid w:val="00863A4C"/>
    <w:rsid w:val="00863FD3"/>
    <w:rsid w:val="008641A3"/>
    <w:rsid w:val="00864FC6"/>
    <w:rsid w:val="008652BD"/>
    <w:rsid w:val="00866746"/>
    <w:rsid w:val="0086745C"/>
    <w:rsid w:val="00870260"/>
    <w:rsid w:val="00870FB6"/>
    <w:rsid w:val="00871AEC"/>
    <w:rsid w:val="00872835"/>
    <w:rsid w:val="00873986"/>
    <w:rsid w:val="008742C1"/>
    <w:rsid w:val="0087466F"/>
    <w:rsid w:val="008747A6"/>
    <w:rsid w:val="00874C8E"/>
    <w:rsid w:val="00874CAA"/>
    <w:rsid w:val="00875088"/>
    <w:rsid w:val="00875B0B"/>
    <w:rsid w:val="00876852"/>
    <w:rsid w:val="00876FF9"/>
    <w:rsid w:val="00877466"/>
    <w:rsid w:val="00877D14"/>
    <w:rsid w:val="00877FD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237"/>
    <w:rsid w:val="008B0961"/>
    <w:rsid w:val="008B0A72"/>
    <w:rsid w:val="008B168F"/>
    <w:rsid w:val="008B1E3A"/>
    <w:rsid w:val="008B2C6C"/>
    <w:rsid w:val="008B2DA3"/>
    <w:rsid w:val="008B2EAD"/>
    <w:rsid w:val="008B3E31"/>
    <w:rsid w:val="008B4158"/>
    <w:rsid w:val="008B5286"/>
    <w:rsid w:val="008B64A0"/>
    <w:rsid w:val="008B64ED"/>
    <w:rsid w:val="008B6ADF"/>
    <w:rsid w:val="008B7CCF"/>
    <w:rsid w:val="008C03C6"/>
    <w:rsid w:val="008C07E4"/>
    <w:rsid w:val="008C0ABD"/>
    <w:rsid w:val="008C0C8E"/>
    <w:rsid w:val="008C15FC"/>
    <w:rsid w:val="008C1BE2"/>
    <w:rsid w:val="008C20A2"/>
    <w:rsid w:val="008C22C6"/>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3AC"/>
    <w:rsid w:val="00900405"/>
    <w:rsid w:val="009004FD"/>
    <w:rsid w:val="00900B24"/>
    <w:rsid w:val="0090184B"/>
    <w:rsid w:val="00901CCB"/>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A97"/>
    <w:rsid w:val="00930CEC"/>
    <w:rsid w:val="009317C5"/>
    <w:rsid w:val="00932266"/>
    <w:rsid w:val="0093263F"/>
    <w:rsid w:val="00932E1B"/>
    <w:rsid w:val="00934775"/>
    <w:rsid w:val="00935419"/>
    <w:rsid w:val="00935BEC"/>
    <w:rsid w:val="00935C69"/>
    <w:rsid w:val="0093686E"/>
    <w:rsid w:val="00936910"/>
    <w:rsid w:val="009372D6"/>
    <w:rsid w:val="00937DFB"/>
    <w:rsid w:val="00940220"/>
    <w:rsid w:val="009402E7"/>
    <w:rsid w:val="00940533"/>
    <w:rsid w:val="009408B8"/>
    <w:rsid w:val="00940A2B"/>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DC0"/>
    <w:rsid w:val="00950FF3"/>
    <w:rsid w:val="009510E8"/>
    <w:rsid w:val="00952E88"/>
    <w:rsid w:val="00952FB4"/>
    <w:rsid w:val="00953089"/>
    <w:rsid w:val="009530A7"/>
    <w:rsid w:val="00953F14"/>
    <w:rsid w:val="0095452A"/>
    <w:rsid w:val="0095578F"/>
    <w:rsid w:val="00955BD8"/>
    <w:rsid w:val="009562F8"/>
    <w:rsid w:val="00956573"/>
    <w:rsid w:val="00956D6B"/>
    <w:rsid w:val="00956E4D"/>
    <w:rsid w:val="00956EC3"/>
    <w:rsid w:val="0096005A"/>
    <w:rsid w:val="0096031B"/>
    <w:rsid w:val="00960409"/>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36B"/>
    <w:rsid w:val="00973CF0"/>
    <w:rsid w:val="009748E8"/>
    <w:rsid w:val="00974F30"/>
    <w:rsid w:val="009751F4"/>
    <w:rsid w:val="00975FCE"/>
    <w:rsid w:val="00976371"/>
    <w:rsid w:val="00976AC1"/>
    <w:rsid w:val="00977CF7"/>
    <w:rsid w:val="00980EEE"/>
    <w:rsid w:val="0098137A"/>
    <w:rsid w:val="009814D5"/>
    <w:rsid w:val="0098224E"/>
    <w:rsid w:val="009841C2"/>
    <w:rsid w:val="0098463B"/>
    <w:rsid w:val="00984D20"/>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A15"/>
    <w:rsid w:val="009A5BB8"/>
    <w:rsid w:val="009A5C5F"/>
    <w:rsid w:val="009A5F0B"/>
    <w:rsid w:val="009A61D5"/>
    <w:rsid w:val="009A64AE"/>
    <w:rsid w:val="009A6FA6"/>
    <w:rsid w:val="009B0B29"/>
    <w:rsid w:val="009B163E"/>
    <w:rsid w:val="009B18C2"/>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6022"/>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72A"/>
    <w:rsid w:val="009C6CD8"/>
    <w:rsid w:val="009C7CC8"/>
    <w:rsid w:val="009D05C7"/>
    <w:rsid w:val="009D0C65"/>
    <w:rsid w:val="009D1C7A"/>
    <w:rsid w:val="009D241C"/>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5C4E"/>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D4F"/>
    <w:rsid w:val="009F4F11"/>
    <w:rsid w:val="009F514D"/>
    <w:rsid w:val="009F529B"/>
    <w:rsid w:val="009F5306"/>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072D"/>
    <w:rsid w:val="00A1104D"/>
    <w:rsid w:val="00A1138C"/>
    <w:rsid w:val="00A126BA"/>
    <w:rsid w:val="00A13950"/>
    <w:rsid w:val="00A13AF9"/>
    <w:rsid w:val="00A14E59"/>
    <w:rsid w:val="00A14F19"/>
    <w:rsid w:val="00A15634"/>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2EC6"/>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1AD0"/>
    <w:rsid w:val="00A532C7"/>
    <w:rsid w:val="00A539F0"/>
    <w:rsid w:val="00A54645"/>
    <w:rsid w:val="00A546B4"/>
    <w:rsid w:val="00A54E7B"/>
    <w:rsid w:val="00A56388"/>
    <w:rsid w:val="00A57300"/>
    <w:rsid w:val="00A57E23"/>
    <w:rsid w:val="00A6001F"/>
    <w:rsid w:val="00A60603"/>
    <w:rsid w:val="00A60B04"/>
    <w:rsid w:val="00A61060"/>
    <w:rsid w:val="00A61361"/>
    <w:rsid w:val="00A61A42"/>
    <w:rsid w:val="00A61CD3"/>
    <w:rsid w:val="00A625A3"/>
    <w:rsid w:val="00A62E75"/>
    <w:rsid w:val="00A630C2"/>
    <w:rsid w:val="00A630D2"/>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668C"/>
    <w:rsid w:val="00A866CC"/>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70E6"/>
    <w:rsid w:val="00AB72A1"/>
    <w:rsid w:val="00AB73D3"/>
    <w:rsid w:val="00AB7F5C"/>
    <w:rsid w:val="00AB7F89"/>
    <w:rsid w:val="00AC0093"/>
    <w:rsid w:val="00AC060E"/>
    <w:rsid w:val="00AC177E"/>
    <w:rsid w:val="00AC1B3B"/>
    <w:rsid w:val="00AC36AC"/>
    <w:rsid w:val="00AC3ABF"/>
    <w:rsid w:val="00AC4262"/>
    <w:rsid w:val="00AC4CE8"/>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4DD5"/>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69A"/>
    <w:rsid w:val="00AF29FE"/>
    <w:rsid w:val="00AF54E8"/>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0B0E"/>
    <w:rsid w:val="00B1197E"/>
    <w:rsid w:val="00B12002"/>
    <w:rsid w:val="00B12223"/>
    <w:rsid w:val="00B12618"/>
    <w:rsid w:val="00B12654"/>
    <w:rsid w:val="00B13215"/>
    <w:rsid w:val="00B13BF0"/>
    <w:rsid w:val="00B13DFC"/>
    <w:rsid w:val="00B14219"/>
    <w:rsid w:val="00B14982"/>
    <w:rsid w:val="00B15428"/>
    <w:rsid w:val="00B15BB6"/>
    <w:rsid w:val="00B15F1E"/>
    <w:rsid w:val="00B17987"/>
    <w:rsid w:val="00B17C9B"/>
    <w:rsid w:val="00B21836"/>
    <w:rsid w:val="00B22082"/>
    <w:rsid w:val="00B22131"/>
    <w:rsid w:val="00B222D1"/>
    <w:rsid w:val="00B2288E"/>
    <w:rsid w:val="00B22AD5"/>
    <w:rsid w:val="00B22EB6"/>
    <w:rsid w:val="00B23458"/>
    <w:rsid w:val="00B23EF7"/>
    <w:rsid w:val="00B23F4F"/>
    <w:rsid w:val="00B2457C"/>
    <w:rsid w:val="00B24DF3"/>
    <w:rsid w:val="00B2593C"/>
    <w:rsid w:val="00B2646D"/>
    <w:rsid w:val="00B268AF"/>
    <w:rsid w:val="00B26B47"/>
    <w:rsid w:val="00B26BE8"/>
    <w:rsid w:val="00B26F9E"/>
    <w:rsid w:val="00B307FE"/>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7ED"/>
    <w:rsid w:val="00B50B57"/>
    <w:rsid w:val="00B5110D"/>
    <w:rsid w:val="00B51C7B"/>
    <w:rsid w:val="00B52507"/>
    <w:rsid w:val="00B52631"/>
    <w:rsid w:val="00B52B55"/>
    <w:rsid w:val="00B52BE8"/>
    <w:rsid w:val="00B535A2"/>
    <w:rsid w:val="00B53AFB"/>
    <w:rsid w:val="00B55DB7"/>
    <w:rsid w:val="00B57967"/>
    <w:rsid w:val="00B57C84"/>
    <w:rsid w:val="00B602CD"/>
    <w:rsid w:val="00B60B63"/>
    <w:rsid w:val="00B61D5C"/>
    <w:rsid w:val="00B631F5"/>
    <w:rsid w:val="00B634C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B81"/>
    <w:rsid w:val="00B73DCD"/>
    <w:rsid w:val="00B749A7"/>
    <w:rsid w:val="00B75445"/>
    <w:rsid w:val="00B77C57"/>
    <w:rsid w:val="00B77C6E"/>
    <w:rsid w:val="00B77D0D"/>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A58"/>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673"/>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C7AD3"/>
    <w:rsid w:val="00BD07C3"/>
    <w:rsid w:val="00BD084D"/>
    <w:rsid w:val="00BD0C3C"/>
    <w:rsid w:val="00BD0EBD"/>
    <w:rsid w:val="00BD1479"/>
    <w:rsid w:val="00BD14CC"/>
    <w:rsid w:val="00BD1CAA"/>
    <w:rsid w:val="00BD279D"/>
    <w:rsid w:val="00BD2F96"/>
    <w:rsid w:val="00BD369C"/>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0A2"/>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09C"/>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127"/>
    <w:rsid w:val="00C57487"/>
    <w:rsid w:val="00C6017C"/>
    <w:rsid w:val="00C6101F"/>
    <w:rsid w:val="00C61231"/>
    <w:rsid w:val="00C619F1"/>
    <w:rsid w:val="00C61BA6"/>
    <w:rsid w:val="00C61E5E"/>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72A"/>
    <w:rsid w:val="00C84CCE"/>
    <w:rsid w:val="00C85AAE"/>
    <w:rsid w:val="00C85F81"/>
    <w:rsid w:val="00C8679F"/>
    <w:rsid w:val="00C87D83"/>
    <w:rsid w:val="00C9235B"/>
    <w:rsid w:val="00C9310E"/>
    <w:rsid w:val="00C93844"/>
    <w:rsid w:val="00C93FCB"/>
    <w:rsid w:val="00C94D7A"/>
    <w:rsid w:val="00C954AB"/>
    <w:rsid w:val="00C957F9"/>
    <w:rsid w:val="00C96382"/>
    <w:rsid w:val="00C96648"/>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BB2"/>
    <w:rsid w:val="00CA4FD7"/>
    <w:rsid w:val="00CA5081"/>
    <w:rsid w:val="00CA5201"/>
    <w:rsid w:val="00CA56A2"/>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5B8"/>
    <w:rsid w:val="00CC4616"/>
    <w:rsid w:val="00CC4D79"/>
    <w:rsid w:val="00CC510E"/>
    <w:rsid w:val="00CC544D"/>
    <w:rsid w:val="00CC55CF"/>
    <w:rsid w:val="00CC5CA2"/>
    <w:rsid w:val="00CC68D1"/>
    <w:rsid w:val="00CC6D7A"/>
    <w:rsid w:val="00CC739F"/>
    <w:rsid w:val="00CC7E40"/>
    <w:rsid w:val="00CD0107"/>
    <w:rsid w:val="00CD0208"/>
    <w:rsid w:val="00CD1934"/>
    <w:rsid w:val="00CD2782"/>
    <w:rsid w:val="00CD3BCA"/>
    <w:rsid w:val="00CD3CF1"/>
    <w:rsid w:val="00CD3F04"/>
    <w:rsid w:val="00CD44AB"/>
    <w:rsid w:val="00CD4963"/>
    <w:rsid w:val="00CD4D27"/>
    <w:rsid w:val="00CD53A6"/>
    <w:rsid w:val="00CD63A2"/>
    <w:rsid w:val="00CD6564"/>
    <w:rsid w:val="00CD6F1A"/>
    <w:rsid w:val="00CD7A7A"/>
    <w:rsid w:val="00CD7EB0"/>
    <w:rsid w:val="00CE0062"/>
    <w:rsid w:val="00CE0936"/>
    <w:rsid w:val="00CE138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BCD"/>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B07"/>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065E"/>
    <w:rsid w:val="00D21303"/>
    <w:rsid w:val="00D21425"/>
    <w:rsid w:val="00D21806"/>
    <w:rsid w:val="00D21F46"/>
    <w:rsid w:val="00D221DA"/>
    <w:rsid w:val="00D22841"/>
    <w:rsid w:val="00D2328B"/>
    <w:rsid w:val="00D23BE2"/>
    <w:rsid w:val="00D24481"/>
    <w:rsid w:val="00D24B72"/>
    <w:rsid w:val="00D26CC3"/>
    <w:rsid w:val="00D276FF"/>
    <w:rsid w:val="00D301C1"/>
    <w:rsid w:val="00D30C1D"/>
    <w:rsid w:val="00D311AC"/>
    <w:rsid w:val="00D31E68"/>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238A"/>
    <w:rsid w:val="00D43025"/>
    <w:rsid w:val="00D43C5A"/>
    <w:rsid w:val="00D43E39"/>
    <w:rsid w:val="00D44740"/>
    <w:rsid w:val="00D44819"/>
    <w:rsid w:val="00D45EAC"/>
    <w:rsid w:val="00D46AEA"/>
    <w:rsid w:val="00D46B17"/>
    <w:rsid w:val="00D50009"/>
    <w:rsid w:val="00D50CF5"/>
    <w:rsid w:val="00D5119E"/>
    <w:rsid w:val="00D51319"/>
    <w:rsid w:val="00D51581"/>
    <w:rsid w:val="00D517EF"/>
    <w:rsid w:val="00D52B89"/>
    <w:rsid w:val="00D530D7"/>
    <w:rsid w:val="00D536F7"/>
    <w:rsid w:val="00D53F69"/>
    <w:rsid w:val="00D5408C"/>
    <w:rsid w:val="00D54164"/>
    <w:rsid w:val="00D54742"/>
    <w:rsid w:val="00D5540D"/>
    <w:rsid w:val="00D55CA0"/>
    <w:rsid w:val="00D55CAA"/>
    <w:rsid w:val="00D576A2"/>
    <w:rsid w:val="00D579B5"/>
    <w:rsid w:val="00D57B32"/>
    <w:rsid w:val="00D57E76"/>
    <w:rsid w:val="00D60109"/>
    <w:rsid w:val="00D60321"/>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4E09"/>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9B7"/>
    <w:rsid w:val="00D84A7B"/>
    <w:rsid w:val="00D84B07"/>
    <w:rsid w:val="00D84DA1"/>
    <w:rsid w:val="00D86775"/>
    <w:rsid w:val="00D8754B"/>
    <w:rsid w:val="00D87FFC"/>
    <w:rsid w:val="00D915C6"/>
    <w:rsid w:val="00D9223B"/>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298"/>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5EE"/>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1CAC"/>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39F1"/>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4A13"/>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7E7"/>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30A"/>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2BAD"/>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643F"/>
    <w:rsid w:val="00E865FA"/>
    <w:rsid w:val="00E86F44"/>
    <w:rsid w:val="00E874F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E5C"/>
    <w:rsid w:val="00E96F9C"/>
    <w:rsid w:val="00E97AB4"/>
    <w:rsid w:val="00E97D75"/>
    <w:rsid w:val="00EA0737"/>
    <w:rsid w:val="00EA0AAA"/>
    <w:rsid w:val="00EA1564"/>
    <w:rsid w:val="00EA162C"/>
    <w:rsid w:val="00EA16FB"/>
    <w:rsid w:val="00EA30D4"/>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692F"/>
    <w:rsid w:val="00EB74AE"/>
    <w:rsid w:val="00EB79B1"/>
    <w:rsid w:val="00EC015C"/>
    <w:rsid w:val="00EC080E"/>
    <w:rsid w:val="00EC149B"/>
    <w:rsid w:val="00EC2ADF"/>
    <w:rsid w:val="00EC2B96"/>
    <w:rsid w:val="00EC2EA7"/>
    <w:rsid w:val="00EC373B"/>
    <w:rsid w:val="00EC3A6C"/>
    <w:rsid w:val="00EC4BD1"/>
    <w:rsid w:val="00EC4FC9"/>
    <w:rsid w:val="00EC5527"/>
    <w:rsid w:val="00EC5877"/>
    <w:rsid w:val="00EC5CA3"/>
    <w:rsid w:val="00EC6EA6"/>
    <w:rsid w:val="00EC7033"/>
    <w:rsid w:val="00EC7A57"/>
    <w:rsid w:val="00EC7D64"/>
    <w:rsid w:val="00ED133C"/>
    <w:rsid w:val="00ED1E38"/>
    <w:rsid w:val="00ED1F0F"/>
    <w:rsid w:val="00ED2108"/>
    <w:rsid w:val="00ED25A2"/>
    <w:rsid w:val="00ED2BC0"/>
    <w:rsid w:val="00ED3187"/>
    <w:rsid w:val="00ED38E5"/>
    <w:rsid w:val="00ED3CBA"/>
    <w:rsid w:val="00ED3F54"/>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73DE"/>
    <w:rsid w:val="00EF7AFF"/>
    <w:rsid w:val="00EF7C4B"/>
    <w:rsid w:val="00EF7E87"/>
    <w:rsid w:val="00F00773"/>
    <w:rsid w:val="00F00ED9"/>
    <w:rsid w:val="00F01EAB"/>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6928"/>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8DA"/>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098"/>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3D60"/>
    <w:rsid w:val="00F94D77"/>
    <w:rsid w:val="00F95F6A"/>
    <w:rsid w:val="00F96005"/>
    <w:rsid w:val="00F967CD"/>
    <w:rsid w:val="00F96892"/>
    <w:rsid w:val="00F96C4A"/>
    <w:rsid w:val="00F972EF"/>
    <w:rsid w:val="00F97D17"/>
    <w:rsid w:val="00F97D9E"/>
    <w:rsid w:val="00F97FDD"/>
    <w:rsid w:val="00FA0A04"/>
    <w:rsid w:val="00FA21B3"/>
    <w:rsid w:val="00FA31DF"/>
    <w:rsid w:val="00FA38BF"/>
    <w:rsid w:val="00FA4268"/>
    <w:rsid w:val="00FA46BF"/>
    <w:rsid w:val="00FA64E9"/>
    <w:rsid w:val="00FA6B40"/>
    <w:rsid w:val="00FA6BB6"/>
    <w:rsid w:val="00FA7DA6"/>
    <w:rsid w:val="00FB0047"/>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4D88"/>
    <w:rsid w:val="00FC4E4A"/>
    <w:rsid w:val="00FC62B0"/>
    <w:rsid w:val="00FC6CE2"/>
    <w:rsid w:val="00FC6D2F"/>
    <w:rsid w:val="00FC73DB"/>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6A7"/>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0088D72"/>
  <w15:docId w15:val="{5A558A1C-3BD7-4050-83A6-18D4CD66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7">
    <w:name w:val="heading 7"/>
    <w:basedOn w:val="Standard"/>
    <w:next w:val="Standard"/>
    <w:link w:val="berschrift7Zchn"/>
    <w:uiPriority w:val="9"/>
    <w:semiHidden/>
    <w:unhideWhenUsed/>
    <w:qFormat/>
    <w:rsid w:val="00976AC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semiHidde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BC5"/>
    <w:rPr>
      <w:rFonts w:ascii="Tahoma" w:eastAsiaTheme="minorEastAsia" w:hAnsi="Tahoma" w:cs="Tahoma"/>
      <w:sz w:val="16"/>
      <w:szCs w:val="16"/>
      <w:lang w:eastAsia="de-DE"/>
    </w:rPr>
  </w:style>
  <w:style w:type="table" w:styleId="Tabellenraster">
    <w:name w:val="Table Grid"/>
    <w:basedOn w:val="NormaleTabelle"/>
    <w:uiPriority w:val="59"/>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uiPriority w:val="9"/>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D13C8"/>
    <w:rPr>
      <w:rFonts w:asciiTheme="majorHAnsi" w:eastAsiaTheme="majorEastAsia" w:hAnsiTheme="majorHAnsi" w:cstheme="majorBidi"/>
      <w:color w:val="365F91" w:themeColor="accent1" w:themeShade="BF"/>
      <w:sz w:val="26"/>
      <w:szCs w:val="26"/>
    </w:rPr>
  </w:style>
  <w:style w:type="character" w:customStyle="1" w:styleId="berschrift7Zchn">
    <w:name w:val="Überschrift 7 Zchn"/>
    <w:basedOn w:val="Absatz-Standardschriftart"/>
    <w:link w:val="berschrift7"/>
    <w:uiPriority w:val="9"/>
    <w:semiHidden/>
    <w:rsid w:val="00976AC1"/>
    <w:rPr>
      <w:rFonts w:asciiTheme="majorHAnsi" w:eastAsiaTheme="majorEastAsia" w:hAnsiTheme="majorHAnsi" w:cstheme="majorBidi"/>
      <w:i/>
      <w:iCs/>
      <w:color w:val="243F60" w:themeColor="accent1" w:themeShade="7F"/>
    </w:rPr>
  </w:style>
  <w:style w:type="paragraph" w:styleId="Textkrper">
    <w:name w:val="Body Text"/>
    <w:basedOn w:val="Standard"/>
    <w:link w:val="TextkrperZchn"/>
    <w:semiHidden/>
    <w:unhideWhenUsed/>
    <w:rsid w:val="00CA56A2"/>
    <w:pPr>
      <w:spacing w:after="0" w:line="240" w:lineRule="auto"/>
      <w:jc w:val="center"/>
    </w:pPr>
    <w:rPr>
      <w:rFonts w:eastAsia="Times New Roman" w:cs="Arial"/>
      <w:b/>
      <w:bCs/>
      <w:color w:val="auto"/>
      <w:sz w:val="12"/>
      <w:lang w:eastAsia="de-DE"/>
    </w:rPr>
  </w:style>
  <w:style w:type="character" w:customStyle="1" w:styleId="TextkrperZchn">
    <w:name w:val="Textkörper Zchn"/>
    <w:basedOn w:val="Absatz-Standardschriftart"/>
    <w:link w:val="Textkrper"/>
    <w:semiHidden/>
    <w:rsid w:val="00CA56A2"/>
    <w:rPr>
      <w:rFonts w:eastAsia="Times New Roman" w:cs="Arial"/>
      <w:b/>
      <w:bCs/>
      <w:color w:val="auto"/>
      <w:sz w:val="12"/>
      <w:lang w:eastAsia="de-DE"/>
    </w:rPr>
  </w:style>
  <w:style w:type="paragraph" w:styleId="Textkrper2">
    <w:name w:val="Body Text 2"/>
    <w:basedOn w:val="Standard"/>
    <w:link w:val="Textkrper2Zchn"/>
    <w:semiHidden/>
    <w:unhideWhenUsed/>
    <w:rsid w:val="00CA56A2"/>
    <w:pPr>
      <w:autoSpaceDE w:val="0"/>
      <w:autoSpaceDN w:val="0"/>
      <w:adjustRightInd w:val="0"/>
      <w:spacing w:after="0" w:line="240" w:lineRule="auto"/>
      <w:jc w:val="center"/>
    </w:pPr>
    <w:rPr>
      <w:rFonts w:eastAsia="Times New Roman" w:cs="Arial"/>
      <w:b/>
      <w:bCs/>
      <w:color w:val="FF0000"/>
      <w:sz w:val="40"/>
      <w:szCs w:val="40"/>
      <w:lang w:eastAsia="de-DE"/>
    </w:rPr>
  </w:style>
  <w:style w:type="character" w:customStyle="1" w:styleId="Textkrper2Zchn">
    <w:name w:val="Textkörper 2 Zchn"/>
    <w:basedOn w:val="Absatz-Standardschriftart"/>
    <w:link w:val="Textkrper2"/>
    <w:semiHidden/>
    <w:rsid w:val="00CA56A2"/>
    <w:rPr>
      <w:rFonts w:eastAsia="Times New Roman" w:cs="Arial"/>
      <w:b/>
      <w:bCs/>
      <w:color w:val="FF0000"/>
      <w:sz w:val="40"/>
      <w:szCs w:val="40"/>
      <w:lang w:eastAsia="de-DE"/>
    </w:rPr>
  </w:style>
  <w:style w:type="paragraph" w:styleId="Textkrper-Einzug2">
    <w:name w:val="Body Text Indent 2"/>
    <w:basedOn w:val="Standard"/>
    <w:link w:val="Textkrper-Einzug2Zchn"/>
    <w:semiHidden/>
    <w:unhideWhenUsed/>
    <w:rsid w:val="00CA56A2"/>
    <w:pPr>
      <w:spacing w:after="120" w:line="480" w:lineRule="auto"/>
      <w:ind w:left="283"/>
    </w:pPr>
    <w:rPr>
      <w:rFonts w:ascii="Times New Roman" w:eastAsia="Times New Roman" w:hAnsi="Times New Roman" w:cs="Times New Roman"/>
      <w:color w:val="auto"/>
      <w:sz w:val="20"/>
      <w:szCs w:val="20"/>
      <w:lang w:eastAsia="de-DE"/>
    </w:rPr>
  </w:style>
  <w:style w:type="character" w:customStyle="1" w:styleId="Textkrper-Einzug2Zchn">
    <w:name w:val="Textkörper-Einzug 2 Zchn"/>
    <w:basedOn w:val="Absatz-Standardschriftart"/>
    <w:link w:val="Textkrper-Einzug2"/>
    <w:semiHidden/>
    <w:rsid w:val="00CA56A2"/>
    <w:rPr>
      <w:rFonts w:ascii="Times New Roman" w:eastAsia="Times New Roman" w:hAnsi="Times New Roman" w:cs="Times New Roman"/>
      <w:color w:val="auto"/>
      <w:sz w:val="20"/>
      <w:szCs w:val="20"/>
      <w:lang w:eastAsia="de-DE"/>
    </w:rPr>
  </w:style>
  <w:style w:type="paragraph" w:styleId="Textkrper-Einzug3">
    <w:name w:val="Body Text Indent 3"/>
    <w:basedOn w:val="Standard"/>
    <w:link w:val="Textkrper-Einzug3Zchn"/>
    <w:semiHidden/>
    <w:unhideWhenUsed/>
    <w:rsid w:val="00CA56A2"/>
    <w:pPr>
      <w:spacing w:after="120" w:line="240" w:lineRule="auto"/>
      <w:ind w:left="283"/>
    </w:pPr>
    <w:rPr>
      <w:rFonts w:ascii="Times New Roman" w:eastAsia="Times New Roman" w:hAnsi="Times New Roman" w:cs="Times New Roman"/>
      <w:color w:val="auto"/>
      <w:sz w:val="16"/>
      <w:szCs w:val="16"/>
      <w:lang w:eastAsia="de-DE"/>
    </w:rPr>
  </w:style>
  <w:style w:type="character" w:customStyle="1" w:styleId="Textkrper-Einzug3Zchn">
    <w:name w:val="Textkörper-Einzug 3 Zchn"/>
    <w:basedOn w:val="Absatz-Standardschriftart"/>
    <w:link w:val="Textkrper-Einzug3"/>
    <w:semiHidden/>
    <w:rsid w:val="00CA56A2"/>
    <w:rPr>
      <w:rFonts w:ascii="Times New Roman" w:eastAsia="Times New Roman" w:hAnsi="Times New Roman" w:cs="Times New Roman"/>
      <w:color w:val="auto"/>
      <w:sz w:val="16"/>
      <w:szCs w:val="16"/>
      <w:lang w:eastAsia="de-DE"/>
    </w:rPr>
  </w:style>
  <w:style w:type="paragraph" w:customStyle="1" w:styleId="Sprechblasentext1">
    <w:name w:val="Sprechblasentext1"/>
    <w:basedOn w:val="Standard"/>
    <w:rsid w:val="00CA56A2"/>
    <w:pPr>
      <w:spacing w:after="0" w:line="240" w:lineRule="auto"/>
    </w:pPr>
    <w:rPr>
      <w:rFonts w:ascii="Tahoma" w:eastAsia="Times New Roman" w:hAnsi="Tahoma" w:cs="Tahoma"/>
      <w:color w:val="auto"/>
      <w:sz w:val="16"/>
      <w:szCs w:val="16"/>
      <w:lang w:eastAsia="de-DE"/>
    </w:rPr>
  </w:style>
  <w:style w:type="paragraph" w:customStyle="1" w:styleId="Sprechblasentext2">
    <w:name w:val="Sprechblasentext2"/>
    <w:basedOn w:val="Standard"/>
    <w:rsid w:val="00A57300"/>
    <w:pPr>
      <w:spacing w:after="0" w:line="240" w:lineRule="auto"/>
    </w:pPr>
    <w:rPr>
      <w:rFonts w:ascii="Tahoma" w:eastAsia="Times New Roman" w:hAnsi="Tahoma" w:cs="Tahoma"/>
      <w:color w:val="auto"/>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33999">
      <w:bodyDiv w:val="1"/>
      <w:marLeft w:val="0"/>
      <w:marRight w:val="0"/>
      <w:marTop w:val="0"/>
      <w:marBottom w:val="0"/>
      <w:divBdr>
        <w:top w:val="none" w:sz="0" w:space="0" w:color="auto"/>
        <w:left w:val="none" w:sz="0" w:space="0" w:color="auto"/>
        <w:bottom w:val="none" w:sz="0" w:space="0" w:color="auto"/>
        <w:right w:val="none" w:sz="0" w:space="0" w:color="auto"/>
      </w:divBdr>
    </w:div>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 w:id="19767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FD6AF21F-D742-4B51-BB5A-E718F0E477CB}">
  <ds:schemaRefs>
    <ds:schemaRef ds:uri="http://schemas.openxmlformats.org/officeDocument/2006/bibliography"/>
  </ds:schemaRefs>
</ds:datastoreItem>
</file>

<file path=customXml/itemProps3.xml><?xml version="1.0" encoding="utf-8"?>
<ds:datastoreItem xmlns:ds="http://schemas.openxmlformats.org/officeDocument/2006/customXml" ds:itemID="{369CB8ED-6EB6-4DC7-AF3E-D8FF6540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3203</Words>
  <Characters>20180</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DRG Entgelttarif - Bezirksklinikum Obermain</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DRG Entgelttarif - Bezirksklinikum Obermain</dc:title>
  <dc:subject/>
  <dc:creator>E. Mueller</dc:creator>
  <cp:keywords/>
  <dc:description/>
  <cp:lastModifiedBy>Elsbeth Müller</cp:lastModifiedBy>
  <cp:revision>103</cp:revision>
  <cp:lastPrinted>2025-09-23T07:48:00Z</cp:lastPrinted>
  <dcterms:created xsi:type="dcterms:W3CDTF">2025-05-05T09:13:00Z</dcterms:created>
  <dcterms:modified xsi:type="dcterms:W3CDTF">2025-09-23T07:58:00Z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4</vt:i4>
  </property>
  <property fmtid="{D5CDD505-2E9C-101B-9397-08002B2CF9AE}" pid="3" name="IsTemplate">
    <vt:bool>false</vt:bool>
  </property>
  <property fmtid="{D5CDD505-2E9C-101B-9397-08002B2CF9AE}" pid="4" name="ReleaseMode">
    <vt:i4>3</vt:i4>
  </property>
  <property fmtid="{D5CDD505-2E9C-101B-9397-08002B2CF9AE}" pid="5" name="QualidoURL">
    <vt:lpwstr>https://qualido.gebo-med.de/</vt:lpwstr>
  </property>
  <property fmtid="{D5CDD505-2E9C-101B-9397-08002B2CF9AE}" pid="6" name="Document">
    <vt:i4>4152</vt:i4>
  </property>
  <property fmtid="{D5CDD505-2E9C-101B-9397-08002B2CF9AE}" pid="7" name="DocumentRevision">
    <vt:i4>10647</vt:i4>
  </property>
  <property fmtid="{D5CDD505-2E9C-101B-9397-08002B2CF9AE}" pid="8" name="OpeningView">
    <vt:lpwstr>UserView</vt:lpwstr>
  </property>
  <property fmtid="{D5CDD505-2E9C-101B-9397-08002B2CF9AE}" pid="9" name="UniqueHash">
    <vt:lpwstr>e6e4f5d6acffe4abb440be7fcd233439</vt:lpwstr>
  </property>
  <property fmtid="{D5CDD505-2E9C-101B-9397-08002B2CF9AE}" pid="10" name="DocumentTitle">
    <vt:lpwstr>DRG Entgelttarif - Bezirksklinikum Obermain</vt:lpwstr>
  </property>
  <property fmtid="{D5CDD505-2E9C-101B-9397-08002B2CF9AE}" pid="11" name="DocumentDescription">
    <vt:lpwstr>Organisationsverfügung</vt:lpwstr>
  </property>
  <property fmtid="{D5CDD505-2E9C-101B-9397-08002B2CF9AE}" pid="12" name="DocumentNumber">
    <vt:lpwstr>4152.41.Q</vt:lpwstr>
  </property>
  <property fmtid="{D5CDD505-2E9C-101B-9397-08002B2CF9AE}" pid="13" name="Filename">
    <vt:lpwstr>ov_4152_drg_entgelttarif_bezirksklinikum_obermain</vt:lpwstr>
  </property>
  <property fmtid="{D5CDD505-2E9C-101B-9397-08002B2CF9AE}" pid="14" name="Institution">
    <vt:lpwstr>Bezirksklinikum Obermain</vt:lpwstr>
  </property>
  <property fmtid="{D5CDD505-2E9C-101B-9397-08002B2CF9AE}" pid="15" name="Comment">
    <vt:lpwstr>Preisänderungen</vt:lpwstr>
  </property>
  <property fmtid="{D5CDD505-2E9C-101B-9397-08002B2CF9AE}" pid="16" name="Revision">
    <vt:lpwstr>41</vt:lpwstr>
  </property>
  <property fmtid="{D5CDD505-2E9C-101B-9397-08002B2CF9AE}" pid="17" name="Authors">
    <vt:lpwstr>E. Mueller</vt:lpwstr>
  </property>
  <property fmtid="{D5CDD505-2E9C-101B-9397-08002B2CF9AE}" pid="18" name="Auditors">
    <vt:lpwstr>E. Mueller, J. Mehr</vt:lpwstr>
  </property>
  <property fmtid="{D5CDD505-2E9C-101B-9397-08002B2CF9AE}" pid="19" name="ReleaseBy">
    <vt:lpwstr>B. Gehringer</vt:lpwstr>
  </property>
  <property fmtid="{D5CDD505-2E9C-101B-9397-08002B2CF9AE}" pid="20" name="UserString">
    <vt:lpwstr>B. Gehringer</vt:lpwstr>
  </property>
  <property fmtid="{D5CDD505-2E9C-101B-9397-08002B2CF9AE}" pid="21" name="CreationDate">
    <vt:lpwstr>07.07.2021</vt:lpwstr>
  </property>
  <property fmtid="{D5CDD505-2E9C-101B-9397-08002B2CF9AE}" pid="22" name="CheckDate">
    <vt:lpwstr>07.07.2021</vt:lpwstr>
  </property>
  <property fmtid="{D5CDD505-2E9C-101B-9397-08002B2CF9AE}" pid="23" name="PrevDocumentRevision">
    <vt:lpwstr>NewRevision</vt:lpwstr>
  </property>
  <property fmtid="{D5CDD505-2E9C-101B-9397-08002B2CF9AE}" pid="24" name="AuditorEdit">
    <vt:lpwstr>allow</vt:lpwstr>
  </property>
  <property fmtid="{D5CDD505-2E9C-101B-9397-08002B2CF9AE}" pid="25" name="ValidFrom">
    <vt:lpwstr>07.07.2021</vt:lpwstr>
  </property>
  <property fmtid="{D5CDD505-2E9C-101B-9397-08002B2CF9AE}" pid="26" name="PHPSessionID">
    <vt:lpwstr>gt4o9i3l8qc5sq7tebhburqg7s414e9q</vt:lpwstr>
  </property>
  <property fmtid="{D5CDD505-2E9C-101B-9397-08002B2CF9AE}" pid="27" name="LastEditorName">
    <vt:lpwstr>Bernhardt Gehringer</vt:lpwstr>
  </property>
  <property fmtid="{D5CDD505-2E9C-101B-9397-08002B2CF9AE}" pid="28" name="CheckInterval">
    <vt:lpwstr>36</vt:lpwstr>
  </property>
  <property fmtid="{D5CDD505-2E9C-101B-9397-08002B2CF9AE}" pid="29" name="ValidTo">
    <vt:lpwstr>unbegrenzt</vt:lpwstr>
  </property>
</Properties>
</file>